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BDB8" w14:textId="33E2A823" w:rsidR="00E57605" w:rsidRPr="0013026D" w:rsidRDefault="000D2077" w:rsidP="00FE218E">
      <w:pPr>
        <w:rPr>
          <w:rFonts w:ascii="Calibri" w:hAnsi="Calibri" w:cs="Calibri"/>
          <w:b/>
        </w:rPr>
      </w:pPr>
      <w:r w:rsidRPr="0013026D">
        <w:rPr>
          <w:rFonts w:ascii="Calibri" w:hAnsi="Calibri" w:cs="Calibri"/>
          <w:b/>
        </w:rPr>
        <w:t>OBJECTIVE</w:t>
      </w:r>
      <w:r w:rsidR="00512326" w:rsidRPr="0013026D">
        <w:rPr>
          <w:rFonts w:ascii="Calibri" w:hAnsi="Calibri" w:cs="Calibri"/>
          <w:b/>
        </w:rPr>
        <w:t xml:space="preserve"> </w:t>
      </w:r>
    </w:p>
    <w:p w14:paraId="06970A26" w14:textId="1EAD809A" w:rsidR="009472D5" w:rsidRPr="009472D5" w:rsidRDefault="00741EBC" w:rsidP="00A74E0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3026D">
        <w:rPr>
          <w:rFonts w:ascii="Calibri" w:hAnsi="Calibri" w:cs="Calibri"/>
        </w:rPr>
        <w:tab/>
      </w:r>
      <w:r w:rsidR="00E247A0">
        <w:rPr>
          <w:rFonts w:asciiTheme="minorHAnsi" w:hAnsiTheme="minorHAnsi" w:cstheme="minorHAnsi"/>
          <w:color w:val="000000"/>
        </w:rPr>
        <w:t xml:space="preserve">HUBs </w:t>
      </w:r>
      <w:r w:rsidR="009472D5" w:rsidRPr="009472D5">
        <w:rPr>
          <w:rFonts w:asciiTheme="minorHAnsi" w:hAnsiTheme="minorHAnsi" w:cstheme="minorHAnsi"/>
          <w:color w:val="000000"/>
        </w:rPr>
        <w:t xml:space="preserve">must establish a </w:t>
      </w:r>
      <w:r w:rsidR="005A59A3">
        <w:rPr>
          <w:rFonts w:asciiTheme="minorHAnsi" w:hAnsiTheme="minorHAnsi" w:cstheme="minorHAnsi"/>
          <w:color w:val="000000"/>
        </w:rPr>
        <w:t xml:space="preserve">blood and </w:t>
      </w:r>
      <w:r w:rsidR="009472D5" w:rsidRPr="009472D5">
        <w:rPr>
          <w:rFonts w:asciiTheme="minorHAnsi" w:hAnsiTheme="minorHAnsi" w:cstheme="minorHAnsi"/>
          <w:color w:val="000000"/>
        </w:rPr>
        <w:t>bod</w:t>
      </w:r>
      <w:r w:rsidR="005A59A3">
        <w:rPr>
          <w:rFonts w:asciiTheme="minorHAnsi" w:hAnsiTheme="minorHAnsi" w:cstheme="minorHAnsi"/>
          <w:color w:val="000000"/>
        </w:rPr>
        <w:t>ily</w:t>
      </w:r>
      <w:r w:rsidR="009472D5" w:rsidRPr="009472D5">
        <w:rPr>
          <w:rFonts w:asciiTheme="minorHAnsi" w:hAnsiTheme="minorHAnsi" w:cstheme="minorHAnsi"/>
          <w:color w:val="000000"/>
        </w:rPr>
        <w:t xml:space="preserve"> fluid control program</w:t>
      </w:r>
      <w:r w:rsidR="00125FF2">
        <w:rPr>
          <w:rFonts w:asciiTheme="minorHAnsi" w:hAnsiTheme="minorHAnsi" w:cstheme="minorHAnsi"/>
          <w:color w:val="000000"/>
        </w:rPr>
        <w:t>.  Th</w:t>
      </w:r>
      <w:r w:rsidR="00475F9C">
        <w:rPr>
          <w:rFonts w:asciiTheme="minorHAnsi" w:hAnsiTheme="minorHAnsi" w:cstheme="minorHAnsi"/>
          <w:color w:val="000000"/>
        </w:rPr>
        <w:t xml:space="preserve">e objective of this program is prevention of the </w:t>
      </w:r>
      <w:r w:rsidR="009472D5" w:rsidRPr="009472D5">
        <w:rPr>
          <w:rFonts w:asciiTheme="minorHAnsi" w:hAnsiTheme="minorHAnsi" w:cstheme="minorHAnsi"/>
          <w:color w:val="000000"/>
        </w:rPr>
        <w:t>risks associated with contamination of food from foodborne illness</w:t>
      </w:r>
      <w:r w:rsidR="009472D5">
        <w:rPr>
          <w:rFonts w:asciiTheme="minorHAnsi" w:hAnsiTheme="minorHAnsi" w:cstheme="minorHAnsi"/>
          <w:color w:val="000000"/>
        </w:rPr>
        <w:t>.  The four major foodborne illnesses of concern due to this risk are:</w:t>
      </w:r>
    </w:p>
    <w:p w14:paraId="6B6D1930" w14:textId="77777777" w:rsidR="009472D5" w:rsidRPr="00C7136C" w:rsidRDefault="009472D5" w:rsidP="00A74E03">
      <w:pPr>
        <w:numPr>
          <w:ilvl w:val="0"/>
          <w:numId w:val="9"/>
        </w:numPr>
        <w:shd w:val="clear" w:color="auto" w:fill="FFFFFF"/>
        <w:ind w:left="0" w:firstLine="0"/>
        <w:rPr>
          <w:rFonts w:asciiTheme="minorHAnsi" w:hAnsiTheme="minorHAnsi" w:cstheme="minorHAnsi"/>
          <w:color w:val="000000"/>
        </w:rPr>
      </w:pPr>
      <w:r w:rsidRPr="00C7136C">
        <w:rPr>
          <w:rFonts w:asciiTheme="minorHAnsi" w:hAnsiTheme="minorHAnsi" w:cstheme="minorHAnsi"/>
          <w:color w:val="000000"/>
        </w:rPr>
        <w:t>hepatitis A virus</w:t>
      </w:r>
    </w:p>
    <w:p w14:paraId="536C27EB" w14:textId="77777777" w:rsidR="009472D5" w:rsidRPr="00C7136C" w:rsidRDefault="009472D5" w:rsidP="00A74E03">
      <w:pPr>
        <w:numPr>
          <w:ilvl w:val="0"/>
          <w:numId w:val="9"/>
        </w:numPr>
        <w:shd w:val="clear" w:color="auto" w:fill="FFFFFF"/>
        <w:ind w:left="0" w:firstLine="0"/>
        <w:rPr>
          <w:rFonts w:asciiTheme="minorHAnsi" w:hAnsiTheme="minorHAnsi" w:cstheme="minorHAnsi"/>
          <w:i/>
          <w:iCs/>
          <w:color w:val="000000"/>
        </w:rPr>
      </w:pPr>
      <w:r w:rsidRPr="00C7136C">
        <w:rPr>
          <w:rFonts w:asciiTheme="minorHAnsi" w:hAnsiTheme="minorHAnsi" w:cstheme="minorHAnsi"/>
          <w:i/>
          <w:iCs/>
          <w:color w:val="000000"/>
        </w:rPr>
        <w:t>Salmonella typhi</w:t>
      </w:r>
    </w:p>
    <w:p w14:paraId="77444858" w14:textId="7FBED93C" w:rsidR="009472D5" w:rsidRPr="00C7136C" w:rsidRDefault="00C7136C" w:rsidP="00A74E03">
      <w:pPr>
        <w:numPr>
          <w:ilvl w:val="0"/>
          <w:numId w:val="9"/>
        </w:numPr>
        <w:shd w:val="clear" w:color="auto" w:fill="FFFFFF"/>
        <w:ind w:left="0" w:firstLine="0"/>
        <w:rPr>
          <w:rFonts w:asciiTheme="minorHAnsi" w:hAnsiTheme="minorHAnsi" w:cstheme="minorHAnsi"/>
          <w:i/>
          <w:iCs/>
          <w:color w:val="000000"/>
        </w:rPr>
      </w:pPr>
      <w:r w:rsidRPr="00C7136C">
        <w:rPr>
          <w:rFonts w:asciiTheme="minorHAnsi" w:hAnsiTheme="minorHAnsi" w:cstheme="minorHAnsi"/>
          <w:i/>
          <w:iCs/>
          <w:color w:val="000000"/>
        </w:rPr>
        <w:t>S</w:t>
      </w:r>
      <w:r w:rsidR="009472D5" w:rsidRPr="00C7136C">
        <w:rPr>
          <w:rFonts w:asciiTheme="minorHAnsi" w:hAnsiTheme="minorHAnsi" w:cstheme="minorHAnsi"/>
          <w:i/>
          <w:iCs/>
          <w:color w:val="000000"/>
        </w:rPr>
        <w:t>higella</w:t>
      </w:r>
    </w:p>
    <w:p w14:paraId="11986057" w14:textId="77777777" w:rsidR="009472D5" w:rsidRPr="00C7136C" w:rsidRDefault="009472D5" w:rsidP="00A74E03">
      <w:pPr>
        <w:numPr>
          <w:ilvl w:val="0"/>
          <w:numId w:val="9"/>
        </w:numPr>
        <w:shd w:val="clear" w:color="auto" w:fill="FFFFFF"/>
        <w:ind w:left="0" w:firstLine="0"/>
        <w:rPr>
          <w:rFonts w:asciiTheme="minorHAnsi" w:hAnsiTheme="minorHAnsi" w:cstheme="minorHAnsi"/>
          <w:i/>
          <w:iCs/>
          <w:color w:val="000000"/>
        </w:rPr>
      </w:pPr>
      <w:r w:rsidRPr="00C7136C">
        <w:rPr>
          <w:rFonts w:asciiTheme="minorHAnsi" w:hAnsiTheme="minorHAnsi" w:cstheme="minorHAnsi"/>
          <w:i/>
          <w:iCs/>
          <w:color w:val="000000"/>
        </w:rPr>
        <w:t>E. coli</w:t>
      </w:r>
    </w:p>
    <w:p w14:paraId="297B5730" w14:textId="5C9BDAD7" w:rsidR="00AC3C56" w:rsidRPr="009472D5" w:rsidRDefault="005F05E7" w:rsidP="00C7136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472D5">
        <w:rPr>
          <w:rFonts w:asciiTheme="minorHAnsi" w:hAnsiTheme="minorHAnsi" w:cstheme="minorHAnsi"/>
        </w:rPr>
        <w:t>When employees are exposed to blood or body fluids, there is a risk of transmission of blood borne pathogens (HIV, Hepatitis B and Hepatitis C).</w:t>
      </w:r>
      <w:r w:rsidR="00AC3C56" w:rsidRPr="009472D5">
        <w:rPr>
          <w:rFonts w:asciiTheme="minorHAnsi" w:hAnsiTheme="minorHAnsi" w:cstheme="minorHAnsi"/>
        </w:rPr>
        <w:t xml:space="preserve">  </w:t>
      </w:r>
    </w:p>
    <w:p w14:paraId="3DD9F7C9" w14:textId="15E5FCE6" w:rsidR="00BE71F5" w:rsidRPr="009472D5" w:rsidRDefault="005F05E7" w:rsidP="00C7136C">
      <w:pPr>
        <w:tabs>
          <w:tab w:val="left" w:pos="567"/>
          <w:tab w:val="left" w:pos="851"/>
        </w:tabs>
        <w:rPr>
          <w:rFonts w:asciiTheme="minorHAnsi" w:hAnsiTheme="minorHAnsi" w:cstheme="minorHAnsi"/>
        </w:rPr>
      </w:pPr>
      <w:r w:rsidRPr="009472D5">
        <w:rPr>
          <w:rFonts w:asciiTheme="minorHAnsi" w:hAnsiTheme="minorHAnsi" w:cstheme="minorHAnsi"/>
        </w:rPr>
        <w:tab/>
      </w:r>
      <w:r w:rsidR="0019039F" w:rsidRPr="009472D5">
        <w:rPr>
          <w:rFonts w:asciiTheme="minorHAnsi" w:hAnsiTheme="minorHAnsi" w:cstheme="minorHAnsi"/>
        </w:rPr>
        <w:t>The</w:t>
      </w:r>
      <w:r w:rsidR="00DC3FEB">
        <w:rPr>
          <w:rFonts w:asciiTheme="minorHAnsi" w:hAnsiTheme="minorHAnsi" w:cstheme="minorHAnsi"/>
        </w:rPr>
        <w:t xml:space="preserve"> HUB</w:t>
      </w:r>
      <w:r w:rsidR="0019039F" w:rsidRPr="009472D5">
        <w:rPr>
          <w:rFonts w:asciiTheme="minorHAnsi" w:hAnsiTheme="minorHAnsi" w:cstheme="minorHAnsi"/>
        </w:rPr>
        <w:t xml:space="preserve"> shall have </w:t>
      </w:r>
      <w:r w:rsidR="001E62F0">
        <w:rPr>
          <w:rFonts w:asciiTheme="minorHAnsi" w:hAnsiTheme="minorHAnsi" w:cstheme="minorHAnsi"/>
        </w:rPr>
        <w:t>procedures</w:t>
      </w:r>
      <w:r w:rsidR="0019039F" w:rsidRPr="009472D5">
        <w:rPr>
          <w:rFonts w:asciiTheme="minorHAnsi" w:hAnsiTheme="minorHAnsi" w:cstheme="minorHAnsi"/>
        </w:rPr>
        <w:t xml:space="preserve"> </w:t>
      </w:r>
      <w:r w:rsidR="00D5114A">
        <w:rPr>
          <w:rFonts w:asciiTheme="minorHAnsi" w:hAnsiTheme="minorHAnsi" w:cstheme="minorHAnsi"/>
        </w:rPr>
        <w:t xml:space="preserve">and training </w:t>
      </w:r>
      <w:r w:rsidR="0019039F" w:rsidRPr="009472D5">
        <w:rPr>
          <w:rFonts w:asciiTheme="minorHAnsi" w:hAnsiTheme="minorHAnsi" w:cstheme="minorHAnsi"/>
        </w:rPr>
        <w:t xml:space="preserve">in place to prevent contact of </w:t>
      </w:r>
      <w:r w:rsidR="001E62F0">
        <w:rPr>
          <w:rFonts w:asciiTheme="minorHAnsi" w:hAnsiTheme="minorHAnsi" w:cstheme="minorHAnsi"/>
        </w:rPr>
        <w:t xml:space="preserve">ingredients, </w:t>
      </w:r>
      <w:r w:rsidR="0019039F" w:rsidRPr="009472D5">
        <w:rPr>
          <w:rFonts w:asciiTheme="minorHAnsi" w:hAnsiTheme="minorHAnsi" w:cstheme="minorHAnsi"/>
        </w:rPr>
        <w:t>materials, food packaging, food or food contact surfaces from any bodily fluids, open wounds, coughing, sneezing, spitting or any other means.</w:t>
      </w:r>
    </w:p>
    <w:p w14:paraId="037DD967" w14:textId="172E3320" w:rsidR="0019039F" w:rsidRPr="009472D5" w:rsidRDefault="0019039F" w:rsidP="00C7136C">
      <w:pPr>
        <w:tabs>
          <w:tab w:val="left" w:pos="567"/>
          <w:tab w:val="left" w:pos="851"/>
        </w:tabs>
        <w:rPr>
          <w:rFonts w:asciiTheme="minorHAnsi" w:hAnsiTheme="minorHAnsi" w:cstheme="minorHAnsi"/>
        </w:rPr>
      </w:pPr>
      <w:r w:rsidRPr="009472D5">
        <w:rPr>
          <w:rFonts w:asciiTheme="minorHAnsi" w:hAnsiTheme="minorHAnsi" w:cstheme="minorHAnsi"/>
        </w:rPr>
        <w:tab/>
        <w:t xml:space="preserve">In the event of an injury that causes </w:t>
      </w:r>
      <w:r w:rsidR="00805917">
        <w:rPr>
          <w:rFonts w:asciiTheme="minorHAnsi" w:hAnsiTheme="minorHAnsi" w:cstheme="minorHAnsi"/>
        </w:rPr>
        <w:t xml:space="preserve">a blood incident, </w:t>
      </w:r>
      <w:r w:rsidRPr="009472D5">
        <w:rPr>
          <w:rFonts w:asciiTheme="minorHAnsi" w:hAnsiTheme="minorHAnsi" w:cstheme="minorHAnsi"/>
        </w:rPr>
        <w:t xml:space="preserve">a properly trained </w:t>
      </w:r>
      <w:r w:rsidR="00FC415F">
        <w:rPr>
          <w:rFonts w:asciiTheme="minorHAnsi" w:hAnsiTheme="minorHAnsi" w:cstheme="minorHAnsi"/>
        </w:rPr>
        <w:t xml:space="preserve">HUB User or HUB Manager </w:t>
      </w:r>
      <w:r w:rsidRPr="009472D5">
        <w:rPr>
          <w:rFonts w:asciiTheme="minorHAnsi" w:hAnsiTheme="minorHAnsi" w:cstheme="minorHAnsi"/>
        </w:rPr>
        <w:t>shall ensure that all affected areas, including handling and processing areas, have been adequately cleaned, and that all materials and products have been quarantined and/or disposed of</w:t>
      </w:r>
      <w:r w:rsidR="007E1B88">
        <w:rPr>
          <w:rFonts w:asciiTheme="minorHAnsi" w:hAnsiTheme="minorHAnsi" w:cstheme="minorHAnsi"/>
        </w:rPr>
        <w:t xml:space="preserve"> and </w:t>
      </w:r>
      <w:r w:rsidR="00D43B61">
        <w:rPr>
          <w:rFonts w:asciiTheme="minorHAnsi" w:hAnsiTheme="minorHAnsi" w:cstheme="minorHAnsi"/>
        </w:rPr>
        <w:t xml:space="preserve">the record </w:t>
      </w:r>
      <w:r w:rsidR="007E1B88">
        <w:rPr>
          <w:rFonts w:asciiTheme="minorHAnsi" w:hAnsiTheme="minorHAnsi" w:cstheme="minorHAnsi"/>
        </w:rPr>
        <w:t>of the incident</w:t>
      </w:r>
      <w:r w:rsidR="008F77B3">
        <w:rPr>
          <w:rFonts w:asciiTheme="minorHAnsi" w:hAnsiTheme="minorHAnsi" w:cstheme="minorHAnsi"/>
        </w:rPr>
        <w:t xml:space="preserve"> is complete.  </w:t>
      </w:r>
    </w:p>
    <w:p w14:paraId="6E03BFD8" w14:textId="77777777" w:rsidR="002D6A86" w:rsidRPr="0013026D" w:rsidRDefault="002D6A86" w:rsidP="00C7136C">
      <w:pPr>
        <w:rPr>
          <w:rFonts w:ascii="Calibri" w:hAnsi="Calibri" w:cs="Calibri"/>
        </w:rPr>
      </w:pPr>
    </w:p>
    <w:p w14:paraId="20E3BBE7" w14:textId="77777777" w:rsidR="00E57605" w:rsidRPr="0013026D" w:rsidRDefault="00E57605" w:rsidP="00C7136C">
      <w:pPr>
        <w:rPr>
          <w:rFonts w:ascii="Calibri" w:hAnsi="Calibri" w:cs="Calibri"/>
          <w:b/>
        </w:rPr>
      </w:pPr>
      <w:r w:rsidRPr="0013026D">
        <w:rPr>
          <w:rFonts w:ascii="Calibri" w:hAnsi="Calibri" w:cs="Calibri"/>
          <w:b/>
        </w:rPr>
        <w:t>SCOPE</w:t>
      </w:r>
      <w:r w:rsidR="002D6A86" w:rsidRPr="0013026D">
        <w:rPr>
          <w:rFonts w:ascii="Calibri" w:hAnsi="Calibri" w:cs="Calibri"/>
          <w:b/>
        </w:rPr>
        <w:tab/>
      </w:r>
    </w:p>
    <w:p w14:paraId="1E1E2BD6" w14:textId="77777777" w:rsidR="00D121B7" w:rsidRDefault="00512326" w:rsidP="00C7136C">
      <w:pPr>
        <w:rPr>
          <w:rFonts w:ascii="Calibri" w:hAnsi="Calibri" w:cs="Calibri"/>
        </w:rPr>
      </w:pPr>
      <w:r w:rsidRPr="0013026D">
        <w:rPr>
          <w:rFonts w:ascii="Calibri" w:hAnsi="Calibri" w:cs="Calibri"/>
        </w:rPr>
        <w:tab/>
      </w:r>
      <w:r w:rsidR="0061358F">
        <w:rPr>
          <w:rFonts w:ascii="Calibri" w:hAnsi="Calibri" w:cs="Calibri"/>
        </w:rPr>
        <w:t xml:space="preserve">All </w:t>
      </w:r>
      <w:r w:rsidR="00FE2493">
        <w:rPr>
          <w:rFonts w:ascii="Calibri" w:hAnsi="Calibri" w:cs="Calibri"/>
        </w:rPr>
        <w:t>HUB Users</w:t>
      </w:r>
      <w:r w:rsidR="00DF0350">
        <w:rPr>
          <w:rFonts w:ascii="Calibri" w:hAnsi="Calibri" w:cs="Calibri"/>
        </w:rPr>
        <w:t xml:space="preserve"> must be aware of clean up procedures and reporting requirements</w:t>
      </w:r>
      <w:r w:rsidR="00D121B7">
        <w:rPr>
          <w:rFonts w:ascii="Calibri" w:hAnsi="Calibri" w:cs="Calibri"/>
        </w:rPr>
        <w:t>.</w:t>
      </w:r>
    </w:p>
    <w:p w14:paraId="225B6F1E" w14:textId="77777777" w:rsidR="00D121B7" w:rsidRDefault="00D121B7" w:rsidP="00C7136C">
      <w:pPr>
        <w:rPr>
          <w:rFonts w:ascii="Calibri" w:hAnsi="Calibri" w:cs="Calibri"/>
        </w:rPr>
      </w:pPr>
    </w:p>
    <w:p w14:paraId="59B6B433" w14:textId="77777777" w:rsidR="00B02E8E" w:rsidRDefault="00B02E8E" w:rsidP="00C7136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DEFINITIONS</w:t>
      </w:r>
    </w:p>
    <w:p w14:paraId="7ECF7F14" w14:textId="5FD53424" w:rsidR="002D6A86" w:rsidRDefault="001A2783" w:rsidP="00C7136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Bodily fluids are </w:t>
      </w:r>
      <w:r w:rsidR="00D121B7">
        <w:rPr>
          <w:rFonts w:ascii="Calibri" w:hAnsi="Calibri" w:cs="Calibri"/>
        </w:rPr>
        <w:t>liquids</w:t>
      </w:r>
      <w:r>
        <w:rPr>
          <w:rFonts w:ascii="Calibri" w:hAnsi="Calibri" w:cs="Calibri"/>
        </w:rPr>
        <w:t xml:space="preserve"> that come from inside human bodies and help transport nutrients and expel waste </w:t>
      </w:r>
      <w:proofErr w:type="gramStart"/>
      <w:r>
        <w:rPr>
          <w:rFonts w:ascii="Calibri" w:hAnsi="Calibri" w:cs="Calibri"/>
        </w:rPr>
        <w:t>form</w:t>
      </w:r>
      <w:proofErr w:type="gramEnd"/>
      <w:r>
        <w:rPr>
          <w:rFonts w:ascii="Calibri" w:hAnsi="Calibri" w:cs="Calibri"/>
        </w:rPr>
        <w:t xml:space="preserve"> human cells. </w:t>
      </w:r>
      <w:r w:rsidR="002D42F2">
        <w:rPr>
          <w:rFonts w:ascii="Calibri" w:hAnsi="Calibri" w:cs="Calibri"/>
        </w:rPr>
        <w:t xml:space="preserve"> Bodily </w:t>
      </w:r>
      <w:r w:rsidR="00B51318">
        <w:rPr>
          <w:rFonts w:ascii="Calibri" w:hAnsi="Calibri" w:cs="Calibri"/>
        </w:rPr>
        <w:t>fluids</w:t>
      </w:r>
      <w:r w:rsidR="002D42F2">
        <w:rPr>
          <w:rFonts w:ascii="Calibri" w:hAnsi="Calibri" w:cs="Calibri"/>
        </w:rPr>
        <w:t xml:space="preserve"> of concern in food processing operations include feces, urine, </w:t>
      </w:r>
      <w:proofErr w:type="gramStart"/>
      <w:r w:rsidR="002D42F2">
        <w:rPr>
          <w:rFonts w:ascii="Calibri" w:hAnsi="Calibri" w:cs="Calibri"/>
        </w:rPr>
        <w:t>vomitus</w:t>
      </w:r>
      <w:proofErr w:type="gramEnd"/>
      <w:r w:rsidR="002D42F2">
        <w:rPr>
          <w:rFonts w:ascii="Calibri" w:hAnsi="Calibri" w:cs="Calibri"/>
        </w:rPr>
        <w:t xml:space="preserve"> and nasal discharges.  Blood is also a bodily </w:t>
      </w:r>
      <w:r w:rsidR="00B51318">
        <w:rPr>
          <w:rFonts w:ascii="Calibri" w:hAnsi="Calibri" w:cs="Calibri"/>
        </w:rPr>
        <w:t>fluid</w:t>
      </w:r>
      <w:r w:rsidR="002D42F2">
        <w:rPr>
          <w:rFonts w:ascii="Calibri" w:hAnsi="Calibri" w:cs="Calibri"/>
        </w:rPr>
        <w:t>.  Due to the potential for cuts and other wounds in a HUB, this policy emphasizes the reporting and clean-up procedures for a blood incident.</w:t>
      </w:r>
    </w:p>
    <w:p w14:paraId="0BBF3142" w14:textId="77777777" w:rsidR="00B51318" w:rsidRDefault="00B51318" w:rsidP="00FD29BE">
      <w:pPr>
        <w:rPr>
          <w:rFonts w:ascii="Calibri" w:hAnsi="Calibri" w:cs="Calibri"/>
        </w:rPr>
      </w:pPr>
    </w:p>
    <w:p w14:paraId="12493189" w14:textId="3BC28AEB" w:rsidR="008B2E40" w:rsidRDefault="00D300EA" w:rsidP="00FD29BE">
      <w:r>
        <w:rPr>
          <w:rFonts w:ascii="Calibri" w:hAnsi="Calibri" w:cs="Calibri"/>
        </w:rPr>
        <w:t>See the table on page 4 for a list of the most common bod</w:t>
      </w:r>
      <w:r w:rsidR="00B51318">
        <w:rPr>
          <w:rFonts w:ascii="Calibri" w:hAnsi="Calibri" w:cs="Calibri"/>
        </w:rPr>
        <w:t>il</w:t>
      </w:r>
      <w:r>
        <w:rPr>
          <w:rFonts w:ascii="Calibri" w:hAnsi="Calibri" w:cs="Calibri"/>
        </w:rPr>
        <w:t>y fluids</w:t>
      </w:r>
      <w:r w:rsidR="00910185">
        <w:rPr>
          <w:rFonts w:ascii="Calibri" w:hAnsi="Calibri" w:cs="Calibri"/>
        </w:rPr>
        <w:t xml:space="preserve">, the </w:t>
      </w:r>
      <w:r>
        <w:rPr>
          <w:rFonts w:ascii="Calibri" w:hAnsi="Calibri" w:cs="Calibri"/>
        </w:rPr>
        <w:t>organisms</w:t>
      </w:r>
      <w:r w:rsidR="003F082D">
        <w:rPr>
          <w:rFonts w:ascii="Calibri" w:hAnsi="Calibri" w:cs="Calibri"/>
        </w:rPr>
        <w:t xml:space="preserve"> of concern</w:t>
      </w:r>
      <w:r w:rsidR="008D3E5A">
        <w:rPr>
          <w:rFonts w:ascii="Calibri" w:hAnsi="Calibri" w:cs="Calibri"/>
        </w:rPr>
        <w:t xml:space="preserve"> and </w:t>
      </w:r>
      <w:r w:rsidR="00FD29BE">
        <w:rPr>
          <w:rFonts w:ascii="Calibri" w:hAnsi="Calibri" w:cs="Calibri"/>
        </w:rPr>
        <w:t xml:space="preserve">the pathway of transmission.  </w:t>
      </w:r>
    </w:p>
    <w:p w14:paraId="3CC62858" w14:textId="31F45A3A" w:rsidR="004F41F6" w:rsidRDefault="004F41F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3293EDF" w14:textId="77777777" w:rsidR="00AB286B" w:rsidRPr="0013026D" w:rsidRDefault="00E57605" w:rsidP="00C7136C">
      <w:pPr>
        <w:rPr>
          <w:rFonts w:ascii="Calibri" w:hAnsi="Calibri" w:cs="Calibri"/>
          <w:b/>
        </w:rPr>
      </w:pPr>
      <w:r w:rsidRPr="0013026D">
        <w:rPr>
          <w:rFonts w:ascii="Calibri" w:hAnsi="Calibri" w:cs="Calibri"/>
          <w:b/>
        </w:rPr>
        <w:lastRenderedPageBreak/>
        <w:t>PROCEDURES</w:t>
      </w:r>
    </w:p>
    <w:p w14:paraId="2EAF0118" w14:textId="77777777" w:rsidR="005F05E7" w:rsidRDefault="005F05E7" w:rsidP="00C7136C">
      <w:pPr>
        <w:rPr>
          <w:rFonts w:asciiTheme="minorHAnsi" w:hAnsiTheme="minorHAnsi" w:cstheme="minorHAnsi"/>
        </w:rPr>
      </w:pPr>
    </w:p>
    <w:p w14:paraId="7BB4515C" w14:textId="176FC7F8" w:rsidR="0025132B" w:rsidRPr="00DF0350" w:rsidRDefault="0025132B" w:rsidP="00C7136C">
      <w:pPr>
        <w:rPr>
          <w:rFonts w:asciiTheme="minorHAnsi" w:hAnsiTheme="minorHAnsi" w:cstheme="minorHAnsi"/>
        </w:rPr>
      </w:pPr>
      <w:r w:rsidRPr="00DF0350">
        <w:rPr>
          <w:rFonts w:asciiTheme="minorHAnsi" w:hAnsiTheme="minorHAnsi" w:cstheme="minorHAnsi"/>
        </w:rPr>
        <w:t xml:space="preserve">In the event of an incident involving blood being spilled anywhere in the </w:t>
      </w:r>
      <w:r w:rsidR="00984264">
        <w:rPr>
          <w:rFonts w:asciiTheme="minorHAnsi" w:hAnsiTheme="minorHAnsi" w:cstheme="minorHAnsi"/>
        </w:rPr>
        <w:t>facility</w:t>
      </w:r>
      <w:r w:rsidRPr="00DF0350">
        <w:rPr>
          <w:rFonts w:asciiTheme="minorHAnsi" w:hAnsiTheme="minorHAnsi" w:cstheme="minorHAnsi"/>
        </w:rPr>
        <w:t xml:space="preserve">, the immediate area must be secured so that blood is not inadvertently transferred to other areas of the </w:t>
      </w:r>
      <w:r w:rsidR="00097D7A">
        <w:rPr>
          <w:rFonts w:asciiTheme="minorHAnsi" w:hAnsiTheme="minorHAnsi" w:cstheme="minorHAnsi"/>
        </w:rPr>
        <w:t>HUB.</w:t>
      </w:r>
    </w:p>
    <w:p w14:paraId="4FA21DF9" w14:textId="77777777" w:rsidR="0025132B" w:rsidRPr="00DF0350" w:rsidRDefault="0025132B" w:rsidP="00C7136C">
      <w:pPr>
        <w:rPr>
          <w:rFonts w:asciiTheme="minorHAnsi" w:hAnsiTheme="minorHAnsi" w:cstheme="minorHAnsi"/>
        </w:rPr>
      </w:pPr>
    </w:p>
    <w:p w14:paraId="1964B47F" w14:textId="34456E81" w:rsidR="0025132B" w:rsidRPr="00DF0350" w:rsidRDefault="0025132B" w:rsidP="00C7136C">
      <w:pPr>
        <w:rPr>
          <w:rFonts w:asciiTheme="minorHAnsi" w:hAnsiTheme="minorHAnsi" w:cstheme="minorHAnsi"/>
        </w:rPr>
      </w:pPr>
      <w:r w:rsidRPr="00DF0350">
        <w:rPr>
          <w:rFonts w:asciiTheme="minorHAnsi" w:hAnsiTheme="minorHAnsi" w:cstheme="minorHAnsi"/>
        </w:rPr>
        <w:t xml:space="preserve">The person discovering the blood must stop their work (shut down equipment if necessary) and notify the </w:t>
      </w:r>
      <w:r w:rsidR="0061358F">
        <w:rPr>
          <w:rFonts w:asciiTheme="minorHAnsi" w:hAnsiTheme="minorHAnsi" w:cstheme="minorHAnsi"/>
        </w:rPr>
        <w:t>Hub Manager or Hub User Management</w:t>
      </w:r>
      <w:r w:rsidRPr="00DF0350">
        <w:rPr>
          <w:rFonts w:asciiTheme="minorHAnsi" w:hAnsiTheme="minorHAnsi" w:cstheme="minorHAnsi"/>
        </w:rPr>
        <w:t xml:space="preserve"> immediately.</w:t>
      </w:r>
    </w:p>
    <w:p w14:paraId="476D3A36" w14:textId="77777777" w:rsidR="0025132B" w:rsidRPr="00DF0350" w:rsidRDefault="0025132B" w:rsidP="00C7136C">
      <w:pPr>
        <w:rPr>
          <w:rFonts w:asciiTheme="minorHAnsi" w:hAnsiTheme="minorHAnsi" w:cstheme="minorHAnsi"/>
        </w:rPr>
      </w:pPr>
    </w:p>
    <w:p w14:paraId="34E36D1C" w14:textId="5D4AFFEF" w:rsidR="00B35A00" w:rsidRDefault="0025132B" w:rsidP="00C7136C">
      <w:pPr>
        <w:rPr>
          <w:rFonts w:asciiTheme="minorHAnsi" w:hAnsiTheme="minorHAnsi" w:cstheme="minorHAnsi"/>
        </w:rPr>
      </w:pPr>
      <w:r w:rsidRPr="00DF0350">
        <w:rPr>
          <w:rFonts w:asciiTheme="minorHAnsi" w:hAnsiTheme="minorHAnsi" w:cstheme="minorHAnsi"/>
        </w:rPr>
        <w:t xml:space="preserve">The </w:t>
      </w:r>
      <w:r w:rsidR="005F05E7">
        <w:rPr>
          <w:rFonts w:asciiTheme="minorHAnsi" w:hAnsiTheme="minorHAnsi" w:cstheme="minorHAnsi"/>
        </w:rPr>
        <w:t>Hub Manager or Hub User Management</w:t>
      </w:r>
      <w:r w:rsidR="005F05E7" w:rsidRPr="008E4561">
        <w:rPr>
          <w:rFonts w:asciiTheme="minorHAnsi" w:hAnsiTheme="minorHAnsi" w:cstheme="minorHAnsi"/>
        </w:rPr>
        <w:t xml:space="preserve"> </w:t>
      </w:r>
      <w:r w:rsidRPr="00DF0350">
        <w:rPr>
          <w:rFonts w:asciiTheme="minorHAnsi" w:hAnsiTheme="minorHAnsi" w:cstheme="minorHAnsi"/>
        </w:rPr>
        <w:t>will determine how to proceed with cleaning</w:t>
      </w:r>
      <w:r w:rsidR="00EA0440">
        <w:rPr>
          <w:rFonts w:asciiTheme="minorHAnsi" w:hAnsiTheme="minorHAnsi" w:cstheme="minorHAnsi"/>
        </w:rPr>
        <w:t xml:space="preserve"> and first aid requirements for injured personnel.  </w:t>
      </w:r>
    </w:p>
    <w:p w14:paraId="1520F9D4" w14:textId="77777777" w:rsidR="00EA0440" w:rsidRPr="00DF0350" w:rsidRDefault="00EA0440" w:rsidP="00C7136C">
      <w:pPr>
        <w:rPr>
          <w:rFonts w:asciiTheme="minorHAnsi" w:hAnsiTheme="minorHAnsi" w:cstheme="minorHAnsi"/>
        </w:rPr>
      </w:pPr>
    </w:p>
    <w:p w14:paraId="793BB9A5" w14:textId="0AD1BB3B" w:rsidR="0025132B" w:rsidRPr="00DF0350" w:rsidRDefault="0025132B" w:rsidP="00C7136C">
      <w:pPr>
        <w:rPr>
          <w:rFonts w:asciiTheme="minorHAnsi" w:hAnsiTheme="minorHAnsi" w:cstheme="minorHAnsi"/>
          <w:b/>
        </w:rPr>
      </w:pPr>
      <w:r w:rsidRPr="00DF0350">
        <w:rPr>
          <w:rFonts w:asciiTheme="minorHAnsi" w:hAnsiTheme="minorHAnsi" w:cstheme="minorHAnsi"/>
          <w:b/>
        </w:rPr>
        <w:t xml:space="preserve">If Blood is spilled on a packing </w:t>
      </w:r>
      <w:r w:rsidR="00A15649" w:rsidRPr="00DF0350">
        <w:rPr>
          <w:rFonts w:asciiTheme="minorHAnsi" w:hAnsiTheme="minorHAnsi" w:cstheme="minorHAnsi"/>
          <w:b/>
        </w:rPr>
        <w:t>line</w:t>
      </w:r>
    </w:p>
    <w:p w14:paraId="034DF0DF" w14:textId="77777777" w:rsidR="0025132B" w:rsidRPr="00DF0350" w:rsidRDefault="0025132B" w:rsidP="00C7136C">
      <w:pPr>
        <w:rPr>
          <w:rFonts w:asciiTheme="minorHAnsi" w:hAnsiTheme="minorHAnsi" w:cstheme="minorHAnsi"/>
        </w:rPr>
      </w:pPr>
    </w:p>
    <w:p w14:paraId="52ED1671" w14:textId="77777777" w:rsidR="00304744" w:rsidRDefault="0025132B" w:rsidP="00C7136C">
      <w:pPr>
        <w:rPr>
          <w:rFonts w:asciiTheme="minorHAnsi" w:hAnsiTheme="minorHAnsi" w:cstheme="minorHAnsi"/>
        </w:rPr>
      </w:pPr>
      <w:r w:rsidRPr="00DF0350">
        <w:rPr>
          <w:rFonts w:asciiTheme="minorHAnsi" w:hAnsiTheme="minorHAnsi" w:cstheme="minorHAnsi"/>
        </w:rPr>
        <w:t>All personnel are to stop working on the line affected.  Examine your clothing and hair coverings for any contamination.  Change your uniform if you suspect it’s contaminated.</w:t>
      </w:r>
    </w:p>
    <w:p w14:paraId="0587E528" w14:textId="6C82D31A" w:rsidR="0025132B" w:rsidRPr="00DF0350" w:rsidRDefault="0025132B" w:rsidP="00C7136C">
      <w:pPr>
        <w:rPr>
          <w:rFonts w:asciiTheme="minorHAnsi" w:hAnsiTheme="minorHAnsi" w:cstheme="minorHAnsi"/>
        </w:rPr>
      </w:pPr>
    </w:p>
    <w:p w14:paraId="496EEEC5" w14:textId="2F653C56" w:rsidR="0025132B" w:rsidRPr="00DF0350" w:rsidRDefault="0025132B" w:rsidP="00C7136C">
      <w:pPr>
        <w:rPr>
          <w:rFonts w:asciiTheme="minorHAnsi" w:hAnsiTheme="minorHAnsi" w:cstheme="minorHAnsi"/>
        </w:rPr>
      </w:pPr>
      <w:r w:rsidRPr="00DF0350">
        <w:rPr>
          <w:rFonts w:asciiTheme="minorHAnsi" w:hAnsiTheme="minorHAnsi" w:cstheme="minorHAnsi"/>
        </w:rPr>
        <w:t>With the assistance of an Investigator (</w:t>
      </w:r>
      <w:r w:rsidR="0055194E">
        <w:rPr>
          <w:rFonts w:asciiTheme="minorHAnsi" w:hAnsiTheme="minorHAnsi" w:cstheme="minorHAnsi"/>
        </w:rPr>
        <w:t xml:space="preserve">HUB Manager, HUB User Management or </w:t>
      </w:r>
      <w:r w:rsidRPr="00DF0350">
        <w:rPr>
          <w:rFonts w:asciiTheme="minorHAnsi" w:hAnsiTheme="minorHAnsi" w:cstheme="minorHAnsi"/>
        </w:rPr>
        <w:t>Supervisor etc.) tag all finished goods, packaging materials and bags / containers / totes of ingredients affected with a HOLD tag (see HOLD procedure).  Remove these to the hold area.</w:t>
      </w:r>
    </w:p>
    <w:p w14:paraId="3FCAE118" w14:textId="77777777" w:rsidR="0025132B" w:rsidRPr="00DF0350" w:rsidRDefault="0025132B" w:rsidP="00C7136C">
      <w:pPr>
        <w:rPr>
          <w:rFonts w:asciiTheme="minorHAnsi" w:hAnsiTheme="minorHAnsi" w:cstheme="minorHAnsi"/>
        </w:rPr>
      </w:pPr>
    </w:p>
    <w:p w14:paraId="652A3447" w14:textId="6BBB2FDB" w:rsidR="0025132B" w:rsidRPr="00DF0350" w:rsidRDefault="0025132B" w:rsidP="00C7136C">
      <w:pPr>
        <w:rPr>
          <w:rFonts w:asciiTheme="minorHAnsi" w:hAnsiTheme="minorHAnsi" w:cstheme="minorHAnsi"/>
        </w:rPr>
      </w:pPr>
      <w:r w:rsidRPr="00DF0350">
        <w:rPr>
          <w:rFonts w:asciiTheme="minorHAnsi" w:hAnsiTheme="minorHAnsi" w:cstheme="minorHAnsi"/>
        </w:rPr>
        <w:t xml:space="preserve">Clean the line from the top with a damp cleaning cloth and move downward, removing as much of the visible blood.  Scrub all effected parts and area with detergent solution.  Rinse with clean water.  Sanitize with </w:t>
      </w:r>
      <w:proofErr w:type="gramStart"/>
      <w:r w:rsidR="0061358F">
        <w:rPr>
          <w:rFonts w:asciiTheme="minorHAnsi" w:hAnsiTheme="minorHAnsi" w:cstheme="minorHAnsi"/>
          <w:i/>
          <w:iCs/>
        </w:rPr>
        <w:t>name</w:t>
      </w:r>
      <w:proofErr w:type="gramEnd"/>
      <w:r w:rsidR="0061358F">
        <w:rPr>
          <w:rFonts w:asciiTheme="minorHAnsi" w:hAnsiTheme="minorHAnsi" w:cstheme="minorHAnsi"/>
          <w:i/>
          <w:iCs/>
        </w:rPr>
        <w:t xml:space="preserve"> of sanitizer used in establishment</w:t>
      </w:r>
      <w:r w:rsidRPr="00DF0350">
        <w:rPr>
          <w:rFonts w:asciiTheme="minorHAnsi" w:hAnsiTheme="minorHAnsi" w:cstheme="minorHAnsi"/>
          <w:color w:val="1B1C20"/>
        </w:rPr>
        <w:t>. Leave to air dry</w:t>
      </w:r>
    </w:p>
    <w:p w14:paraId="1F246A7A" w14:textId="77777777" w:rsidR="0025132B" w:rsidRPr="00DF0350" w:rsidRDefault="0025132B" w:rsidP="00C7136C">
      <w:pPr>
        <w:rPr>
          <w:rFonts w:asciiTheme="minorHAnsi" w:hAnsiTheme="minorHAnsi" w:cstheme="minorHAnsi"/>
        </w:rPr>
      </w:pPr>
    </w:p>
    <w:p w14:paraId="53158643" w14:textId="009CDF60" w:rsidR="0025132B" w:rsidRPr="00DF0350" w:rsidRDefault="00170F4E" w:rsidP="00C7136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HUB User and Management </w:t>
      </w:r>
      <w:r w:rsidR="0025132B" w:rsidRPr="00DF0350">
        <w:rPr>
          <w:rFonts w:asciiTheme="minorHAnsi" w:hAnsiTheme="minorHAnsi" w:cstheme="minorHAnsi"/>
        </w:rPr>
        <w:t xml:space="preserve">will examine all materials on HOLD and decide disposition.  Any material that is </w:t>
      </w:r>
      <w:proofErr w:type="gramStart"/>
      <w:r w:rsidR="0025132B" w:rsidRPr="00DF0350">
        <w:rPr>
          <w:rFonts w:asciiTheme="minorHAnsi" w:hAnsiTheme="minorHAnsi" w:cstheme="minorHAnsi"/>
        </w:rPr>
        <w:t>suspect</w:t>
      </w:r>
      <w:proofErr w:type="gramEnd"/>
      <w:r w:rsidR="0025132B" w:rsidRPr="00DF0350">
        <w:rPr>
          <w:rFonts w:asciiTheme="minorHAnsi" w:hAnsiTheme="minorHAnsi" w:cstheme="minorHAnsi"/>
        </w:rPr>
        <w:t xml:space="preserve"> is to be disposed of as non-food grade scrap.  </w:t>
      </w:r>
    </w:p>
    <w:p w14:paraId="7BCC9E2A" w14:textId="77777777" w:rsidR="0025132B" w:rsidRPr="00DF0350" w:rsidRDefault="0025132B" w:rsidP="00C7136C">
      <w:pPr>
        <w:rPr>
          <w:rFonts w:asciiTheme="minorHAnsi" w:hAnsiTheme="minorHAnsi" w:cstheme="minorHAnsi"/>
        </w:rPr>
      </w:pPr>
    </w:p>
    <w:p w14:paraId="73DCABB0" w14:textId="1E3F7E0C" w:rsidR="0025132B" w:rsidRPr="00DF0350" w:rsidRDefault="0025132B" w:rsidP="00C7136C">
      <w:pPr>
        <w:rPr>
          <w:rFonts w:asciiTheme="minorHAnsi" w:hAnsiTheme="minorHAnsi" w:cstheme="minorHAnsi"/>
        </w:rPr>
      </w:pPr>
      <w:r w:rsidRPr="00DF0350">
        <w:rPr>
          <w:rFonts w:asciiTheme="minorHAnsi" w:hAnsiTheme="minorHAnsi" w:cstheme="minorHAnsi"/>
        </w:rPr>
        <w:t xml:space="preserve">The </w:t>
      </w:r>
      <w:r w:rsidR="00F57E4A">
        <w:rPr>
          <w:rFonts w:asciiTheme="minorHAnsi" w:hAnsiTheme="minorHAnsi" w:cstheme="minorHAnsi"/>
        </w:rPr>
        <w:t>I</w:t>
      </w:r>
      <w:r w:rsidRPr="00DF0350">
        <w:rPr>
          <w:rFonts w:asciiTheme="minorHAnsi" w:hAnsiTheme="minorHAnsi" w:cstheme="minorHAnsi"/>
        </w:rPr>
        <w:t>nvestigator is to examine the packing line and ensure that the sanitation steps were adequate.</w:t>
      </w:r>
    </w:p>
    <w:p w14:paraId="73B377A5" w14:textId="77777777" w:rsidR="0025132B" w:rsidRPr="00DF0350" w:rsidRDefault="0025132B" w:rsidP="00C7136C">
      <w:pPr>
        <w:rPr>
          <w:rFonts w:asciiTheme="minorHAnsi" w:hAnsiTheme="minorHAnsi" w:cstheme="minorHAnsi"/>
        </w:rPr>
      </w:pPr>
    </w:p>
    <w:p w14:paraId="4701E6C2" w14:textId="79C25CAF" w:rsidR="0025132B" w:rsidRPr="00DF0350" w:rsidRDefault="0025132B" w:rsidP="00C7136C">
      <w:pPr>
        <w:rPr>
          <w:rFonts w:asciiTheme="minorHAnsi" w:hAnsiTheme="minorHAnsi" w:cstheme="minorHAnsi"/>
          <w:b/>
        </w:rPr>
      </w:pPr>
      <w:r w:rsidRPr="00DF0350">
        <w:rPr>
          <w:rFonts w:asciiTheme="minorHAnsi" w:hAnsiTheme="minorHAnsi" w:cstheme="minorHAnsi"/>
          <w:b/>
        </w:rPr>
        <w:t>If Blood is discovered in contact with food product or food-contact materials</w:t>
      </w:r>
    </w:p>
    <w:p w14:paraId="2EFE7705" w14:textId="77777777" w:rsidR="0025132B" w:rsidRPr="00DF0350" w:rsidRDefault="0025132B" w:rsidP="00C7136C">
      <w:pPr>
        <w:rPr>
          <w:rFonts w:asciiTheme="minorHAnsi" w:hAnsiTheme="minorHAnsi" w:cstheme="minorHAnsi"/>
        </w:rPr>
      </w:pPr>
    </w:p>
    <w:p w14:paraId="7328CCC9" w14:textId="77777777" w:rsidR="0025132B" w:rsidRPr="00DF0350" w:rsidRDefault="0025132B" w:rsidP="00C7136C">
      <w:pPr>
        <w:rPr>
          <w:rFonts w:asciiTheme="minorHAnsi" w:hAnsiTheme="minorHAnsi" w:cstheme="minorHAnsi"/>
        </w:rPr>
      </w:pPr>
      <w:r w:rsidRPr="00DF0350">
        <w:rPr>
          <w:rFonts w:asciiTheme="minorHAnsi" w:hAnsiTheme="minorHAnsi" w:cstheme="minorHAnsi"/>
        </w:rPr>
        <w:t>All personnel are to stop working on the line affected (if applicable).</w:t>
      </w:r>
    </w:p>
    <w:p w14:paraId="7F453047" w14:textId="77777777" w:rsidR="0025132B" w:rsidRPr="00DF0350" w:rsidRDefault="0025132B" w:rsidP="00C7136C">
      <w:pPr>
        <w:rPr>
          <w:rFonts w:asciiTheme="minorHAnsi" w:hAnsiTheme="minorHAnsi" w:cstheme="minorHAnsi"/>
        </w:rPr>
      </w:pPr>
    </w:p>
    <w:p w14:paraId="1C5A1E56" w14:textId="27745AAC" w:rsidR="0025132B" w:rsidRPr="00DF0350" w:rsidRDefault="0025132B" w:rsidP="00C7136C">
      <w:pPr>
        <w:rPr>
          <w:rFonts w:asciiTheme="minorHAnsi" w:hAnsiTheme="minorHAnsi" w:cstheme="minorHAnsi"/>
        </w:rPr>
      </w:pPr>
      <w:r w:rsidRPr="00DF0350">
        <w:rPr>
          <w:rFonts w:asciiTheme="minorHAnsi" w:hAnsiTheme="minorHAnsi" w:cstheme="minorHAnsi"/>
        </w:rPr>
        <w:lastRenderedPageBreak/>
        <w:t xml:space="preserve">With the assistance of an Investigator </w:t>
      </w:r>
      <w:r w:rsidR="006F1550" w:rsidRPr="00DF0350">
        <w:rPr>
          <w:rFonts w:asciiTheme="minorHAnsi" w:hAnsiTheme="minorHAnsi" w:cstheme="minorHAnsi"/>
        </w:rPr>
        <w:t>(</w:t>
      </w:r>
      <w:r w:rsidR="006F1550">
        <w:rPr>
          <w:rFonts w:asciiTheme="minorHAnsi" w:hAnsiTheme="minorHAnsi" w:cstheme="minorHAnsi"/>
        </w:rPr>
        <w:t xml:space="preserve">HUB Manager, HUB User Management or </w:t>
      </w:r>
      <w:r w:rsidR="006F1550" w:rsidRPr="00DF0350">
        <w:rPr>
          <w:rFonts w:asciiTheme="minorHAnsi" w:hAnsiTheme="minorHAnsi" w:cstheme="minorHAnsi"/>
        </w:rPr>
        <w:t xml:space="preserve">Supervisor etc.) </w:t>
      </w:r>
      <w:r w:rsidRPr="00DF0350">
        <w:rPr>
          <w:rFonts w:asciiTheme="minorHAnsi" w:hAnsiTheme="minorHAnsi" w:cstheme="minorHAnsi"/>
        </w:rPr>
        <w:t>tag all materials affected with a HOLD tag (see HOLD procedure).  Remove these to the hold area.</w:t>
      </w:r>
    </w:p>
    <w:p w14:paraId="484A9D89" w14:textId="77777777" w:rsidR="0025132B" w:rsidRPr="00DF0350" w:rsidRDefault="0025132B" w:rsidP="00C7136C">
      <w:pPr>
        <w:rPr>
          <w:rFonts w:asciiTheme="minorHAnsi" w:hAnsiTheme="minorHAnsi" w:cstheme="minorHAnsi"/>
        </w:rPr>
      </w:pPr>
    </w:p>
    <w:p w14:paraId="718A77DE" w14:textId="2F7D5BA1" w:rsidR="0025132B" w:rsidRPr="00DF0350" w:rsidRDefault="0025132B" w:rsidP="00C7136C">
      <w:pPr>
        <w:rPr>
          <w:rFonts w:asciiTheme="minorHAnsi" w:hAnsiTheme="minorHAnsi" w:cstheme="minorHAnsi"/>
        </w:rPr>
      </w:pPr>
      <w:r w:rsidRPr="00DF0350">
        <w:rPr>
          <w:rFonts w:asciiTheme="minorHAnsi" w:hAnsiTheme="minorHAnsi" w:cstheme="minorHAnsi"/>
        </w:rPr>
        <w:t xml:space="preserve">Clean food contact surfaces from the top with a damp cleaning cloth and move downward, removing as much of the visible blood.  Scrub all effected parts and area with detergent solution.  Rinse with clean water.  Sanitize with </w:t>
      </w:r>
      <w:proofErr w:type="gramStart"/>
      <w:r w:rsidR="0061358F">
        <w:rPr>
          <w:rFonts w:asciiTheme="minorHAnsi" w:hAnsiTheme="minorHAnsi" w:cstheme="minorHAnsi"/>
          <w:i/>
          <w:iCs/>
        </w:rPr>
        <w:t>name</w:t>
      </w:r>
      <w:proofErr w:type="gramEnd"/>
      <w:r w:rsidR="0061358F">
        <w:rPr>
          <w:rFonts w:asciiTheme="minorHAnsi" w:hAnsiTheme="minorHAnsi" w:cstheme="minorHAnsi"/>
          <w:i/>
          <w:iCs/>
        </w:rPr>
        <w:t xml:space="preserve"> of sanitizer used in establishment</w:t>
      </w:r>
      <w:r w:rsidRPr="00DF0350">
        <w:rPr>
          <w:rFonts w:asciiTheme="minorHAnsi" w:hAnsiTheme="minorHAnsi" w:cstheme="minorHAnsi"/>
          <w:color w:val="1B1C20"/>
        </w:rPr>
        <w:t>. Leave to air dry</w:t>
      </w:r>
    </w:p>
    <w:p w14:paraId="68257D73" w14:textId="77777777" w:rsidR="0025132B" w:rsidRPr="00DF0350" w:rsidRDefault="0025132B" w:rsidP="00C7136C">
      <w:pPr>
        <w:rPr>
          <w:rFonts w:asciiTheme="minorHAnsi" w:hAnsiTheme="minorHAnsi" w:cstheme="minorHAnsi"/>
        </w:rPr>
      </w:pPr>
    </w:p>
    <w:p w14:paraId="014AA416" w14:textId="77777777" w:rsidR="0025132B" w:rsidRPr="00DF0350" w:rsidRDefault="0025132B" w:rsidP="00C7136C">
      <w:pPr>
        <w:rPr>
          <w:rFonts w:asciiTheme="minorHAnsi" w:hAnsiTheme="minorHAnsi" w:cstheme="minorHAnsi"/>
        </w:rPr>
      </w:pPr>
      <w:r w:rsidRPr="00DF0350">
        <w:rPr>
          <w:rFonts w:asciiTheme="minorHAnsi" w:hAnsiTheme="minorHAnsi" w:cstheme="minorHAnsi"/>
        </w:rPr>
        <w:t xml:space="preserve">Quality Control will examine all materials on HOLD and decide disposition.  Any material that is </w:t>
      </w:r>
      <w:proofErr w:type="gramStart"/>
      <w:r w:rsidRPr="00DF0350">
        <w:rPr>
          <w:rFonts w:asciiTheme="minorHAnsi" w:hAnsiTheme="minorHAnsi" w:cstheme="minorHAnsi"/>
        </w:rPr>
        <w:t>suspect</w:t>
      </w:r>
      <w:proofErr w:type="gramEnd"/>
      <w:r w:rsidRPr="00DF0350">
        <w:rPr>
          <w:rFonts w:asciiTheme="minorHAnsi" w:hAnsiTheme="minorHAnsi" w:cstheme="minorHAnsi"/>
        </w:rPr>
        <w:t xml:space="preserve"> is to be disposed of as non-food grade scrap.  </w:t>
      </w:r>
    </w:p>
    <w:p w14:paraId="27858469" w14:textId="77777777" w:rsidR="0025132B" w:rsidRPr="00DF0350" w:rsidRDefault="0025132B" w:rsidP="00C7136C">
      <w:pPr>
        <w:rPr>
          <w:rFonts w:asciiTheme="minorHAnsi" w:hAnsiTheme="minorHAnsi" w:cstheme="minorHAnsi"/>
        </w:rPr>
      </w:pPr>
    </w:p>
    <w:p w14:paraId="48356E43" w14:textId="77777777" w:rsidR="0025132B" w:rsidRDefault="0025132B" w:rsidP="00C7136C">
      <w:pPr>
        <w:rPr>
          <w:rFonts w:asciiTheme="minorHAnsi" w:hAnsiTheme="minorHAnsi" w:cstheme="minorHAnsi"/>
        </w:rPr>
      </w:pPr>
      <w:r w:rsidRPr="00DF0350">
        <w:rPr>
          <w:rFonts w:asciiTheme="minorHAnsi" w:hAnsiTheme="minorHAnsi" w:cstheme="minorHAnsi"/>
        </w:rPr>
        <w:t>The investigator is to examine the area and equipment and ensure that the sanitation steps were adequate</w:t>
      </w:r>
    </w:p>
    <w:p w14:paraId="6B65741C" w14:textId="77777777" w:rsidR="00702C5B" w:rsidRPr="00DF0350" w:rsidRDefault="00702C5B" w:rsidP="00C7136C">
      <w:pPr>
        <w:rPr>
          <w:rFonts w:asciiTheme="minorHAnsi" w:hAnsiTheme="minorHAnsi" w:cstheme="minorHAnsi"/>
        </w:rPr>
      </w:pPr>
    </w:p>
    <w:p w14:paraId="44D3D592" w14:textId="39ADF246" w:rsidR="0025132B" w:rsidRPr="00DB432A" w:rsidRDefault="009D0AB7" w:rsidP="00C7136C">
      <w:pPr>
        <w:rPr>
          <w:rFonts w:asciiTheme="minorHAnsi" w:hAnsiTheme="minorHAnsi" w:cstheme="minorHAnsi"/>
        </w:rPr>
      </w:pPr>
      <w:r w:rsidRPr="00DB432A">
        <w:rPr>
          <w:rFonts w:asciiTheme="minorHAnsi" w:hAnsiTheme="minorHAnsi" w:cstheme="minorHAnsi"/>
        </w:rPr>
        <w:t xml:space="preserve">The </w:t>
      </w:r>
      <w:r w:rsidR="00BA19F8" w:rsidRPr="00507356">
        <w:rPr>
          <w:rFonts w:asciiTheme="minorHAnsi" w:hAnsiTheme="minorHAnsi" w:cstheme="minorHAnsi"/>
          <w:b/>
          <w:bCs/>
        </w:rPr>
        <w:t>Blood Incident Record</w:t>
      </w:r>
      <w:r w:rsidR="00BA19F8" w:rsidRPr="00DB432A">
        <w:rPr>
          <w:rFonts w:asciiTheme="minorHAnsi" w:hAnsiTheme="minorHAnsi" w:cstheme="minorHAnsi"/>
        </w:rPr>
        <w:t xml:space="preserve"> </w:t>
      </w:r>
      <w:r w:rsidR="00395ECD" w:rsidRPr="00DB432A">
        <w:rPr>
          <w:rFonts w:asciiTheme="minorHAnsi" w:hAnsiTheme="minorHAnsi" w:cstheme="minorHAnsi"/>
        </w:rPr>
        <w:t>(</w:t>
      </w:r>
      <w:r w:rsidR="00BA19F8" w:rsidRPr="00DB432A">
        <w:rPr>
          <w:rFonts w:asciiTheme="minorHAnsi" w:hAnsiTheme="minorHAnsi" w:cstheme="minorHAnsi"/>
        </w:rPr>
        <w:t>on page 5</w:t>
      </w:r>
      <w:r w:rsidR="00395ECD" w:rsidRPr="00DB432A">
        <w:rPr>
          <w:rFonts w:asciiTheme="minorHAnsi" w:hAnsiTheme="minorHAnsi" w:cstheme="minorHAnsi"/>
        </w:rPr>
        <w:t>)</w:t>
      </w:r>
      <w:r w:rsidR="00BA19F8" w:rsidRPr="00DB432A">
        <w:rPr>
          <w:rFonts w:asciiTheme="minorHAnsi" w:hAnsiTheme="minorHAnsi" w:cstheme="minorHAnsi"/>
        </w:rPr>
        <w:t xml:space="preserve"> is completed by the Investigator</w:t>
      </w:r>
      <w:r w:rsidR="00395ECD" w:rsidRPr="00DB432A">
        <w:rPr>
          <w:rFonts w:asciiTheme="minorHAnsi" w:hAnsiTheme="minorHAnsi" w:cstheme="minorHAnsi"/>
        </w:rPr>
        <w:t>.</w:t>
      </w:r>
    </w:p>
    <w:p w14:paraId="3F5D7995" w14:textId="77777777" w:rsidR="00395ECD" w:rsidRDefault="00395ECD" w:rsidP="00C7136C"/>
    <w:p w14:paraId="2108583E" w14:textId="77777777" w:rsidR="00AF6950" w:rsidRPr="00DF0350" w:rsidRDefault="00AF6950" w:rsidP="00AF695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RELATED </w:t>
      </w:r>
      <w:r w:rsidRPr="00DF0350">
        <w:rPr>
          <w:rFonts w:ascii="Calibri" w:hAnsi="Calibri" w:cs="Calibri"/>
          <w:b/>
        </w:rPr>
        <w:t xml:space="preserve">DOCUMENTS </w:t>
      </w:r>
    </w:p>
    <w:p w14:paraId="13905594" w14:textId="58705DBA" w:rsidR="00EB0176" w:rsidRPr="00DF0350" w:rsidRDefault="00EB0176" w:rsidP="00EB0176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Blood Incident Record</w:t>
      </w:r>
      <w:r w:rsidR="00395ECD">
        <w:rPr>
          <w:rFonts w:ascii="Calibri" w:hAnsi="Calibri" w:cs="Calibri"/>
          <w:bCs/>
        </w:rPr>
        <w:t xml:space="preserve"> (page 5)</w:t>
      </w:r>
    </w:p>
    <w:p w14:paraId="35BFFD00" w14:textId="77777777" w:rsidR="0016271A" w:rsidRPr="007A2C2C" w:rsidRDefault="0016271A" w:rsidP="001627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HUB.PT.POL.13 </w:t>
      </w:r>
      <w:r w:rsidRPr="007A2C2C">
        <w:rPr>
          <w:rFonts w:asciiTheme="minorHAnsi" w:hAnsiTheme="minorHAnsi" w:cstheme="minorHAnsi"/>
        </w:rPr>
        <w:t>Food HUB Users Orientation Manual - Hygiene</w:t>
      </w:r>
    </w:p>
    <w:p w14:paraId="23B59BEE" w14:textId="0624837B" w:rsidR="0016271A" w:rsidRPr="007A2C2C" w:rsidRDefault="0016271A" w:rsidP="001627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HUB.PT.REC.39</w:t>
      </w:r>
      <w:r w:rsidR="002C1160">
        <w:rPr>
          <w:rFonts w:asciiTheme="minorHAnsi" w:hAnsiTheme="minorHAnsi" w:cstheme="minorHAnsi"/>
        </w:rPr>
        <w:t xml:space="preserve"> </w:t>
      </w:r>
      <w:r w:rsidRPr="007A2C2C">
        <w:rPr>
          <w:rFonts w:asciiTheme="minorHAnsi" w:hAnsiTheme="minorHAnsi" w:cstheme="minorHAnsi"/>
        </w:rPr>
        <w:t>Food HUB User</w:t>
      </w:r>
      <w:r w:rsidR="002C1160">
        <w:rPr>
          <w:rFonts w:asciiTheme="minorHAnsi" w:hAnsiTheme="minorHAnsi" w:cstheme="minorHAnsi"/>
        </w:rPr>
        <w:t xml:space="preserve"> GMP </w:t>
      </w:r>
      <w:r w:rsidR="006F017B">
        <w:rPr>
          <w:rFonts w:asciiTheme="minorHAnsi" w:hAnsiTheme="minorHAnsi" w:cstheme="minorHAnsi"/>
        </w:rPr>
        <w:t>Commitment</w:t>
      </w:r>
    </w:p>
    <w:p w14:paraId="7B9A466A" w14:textId="77777777" w:rsidR="00EB0176" w:rsidRDefault="00EB0176" w:rsidP="00EB0176">
      <w:pPr>
        <w:rPr>
          <w:rFonts w:ascii="Calibri" w:hAnsi="Calibri" w:cs="Calibri"/>
        </w:rPr>
      </w:pPr>
      <w:r>
        <w:rPr>
          <w:rFonts w:ascii="Calibri" w:hAnsi="Calibri" w:cs="Calibri"/>
        </w:rPr>
        <w:t>Member Agreement</w:t>
      </w:r>
    </w:p>
    <w:p w14:paraId="78196BCF" w14:textId="77777777" w:rsidR="00651D84" w:rsidRDefault="00EB0176" w:rsidP="00C7136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WCB requirements for </w:t>
      </w:r>
      <w:r w:rsidR="00651D84">
        <w:rPr>
          <w:rFonts w:ascii="Calibri" w:hAnsi="Calibri" w:cs="Calibri"/>
        </w:rPr>
        <w:t>HUB Owner and HUB User.</w:t>
      </w:r>
    </w:p>
    <w:p w14:paraId="66E33FB7" w14:textId="53978F29" w:rsidR="008A336E" w:rsidRDefault="008A336E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85BF5A0" w14:textId="77777777" w:rsidR="00651D84" w:rsidRDefault="00651D84" w:rsidP="00C7136C">
      <w:pPr>
        <w:rPr>
          <w:rFonts w:ascii="Calibri" w:hAnsi="Calibri" w:cs="Calibri"/>
        </w:rPr>
      </w:pPr>
    </w:p>
    <w:p w14:paraId="4313E1C3" w14:textId="0249DE56" w:rsidR="00E57605" w:rsidRDefault="00E57605" w:rsidP="00C7136C">
      <w:pPr>
        <w:rPr>
          <w:rFonts w:ascii="Calibri" w:hAnsi="Calibri" w:cs="Calibri"/>
          <w:b/>
        </w:rPr>
      </w:pPr>
      <w:r w:rsidRPr="0013026D">
        <w:rPr>
          <w:rFonts w:ascii="Calibri" w:hAnsi="Calibri" w:cs="Calibri"/>
          <w:b/>
        </w:rPr>
        <w:t>RE</w:t>
      </w:r>
      <w:r w:rsidR="003644F1">
        <w:rPr>
          <w:rFonts w:ascii="Calibri" w:hAnsi="Calibri" w:cs="Calibri"/>
          <w:b/>
        </w:rPr>
        <w:t>FERENCES</w:t>
      </w:r>
    </w:p>
    <w:p w14:paraId="319E146B" w14:textId="77777777" w:rsidR="003644F1" w:rsidRDefault="00000000" w:rsidP="00C7136C">
      <w:pPr>
        <w:rPr>
          <w:rFonts w:ascii="Calibri" w:hAnsi="Calibri" w:cs="Calibri"/>
          <w:u w:val="single"/>
        </w:rPr>
      </w:pPr>
      <w:hyperlink r:id="rId8" w:history="1">
        <w:r w:rsidR="003644F1" w:rsidRPr="00AC0CB6">
          <w:rPr>
            <w:rStyle w:val="Hyperlink"/>
            <w:rFonts w:ascii="Calibri" w:hAnsi="Calibri" w:cs="Calibri"/>
          </w:rPr>
          <w:t>https://www.healthlinkbc.ca/healthlinkbc-files/contact-blood-or-body-fluids-protecting-against-infection</w:t>
        </w:r>
      </w:hyperlink>
    </w:p>
    <w:p w14:paraId="37256B9C" w14:textId="06AD7D6E" w:rsidR="003644F1" w:rsidRDefault="003644F1" w:rsidP="00C7136C">
      <w:pPr>
        <w:rPr>
          <w:rFonts w:ascii="Calibri" w:hAnsi="Calibri" w:cs="Calibri"/>
        </w:rPr>
      </w:pPr>
    </w:p>
    <w:p w14:paraId="738349A5" w14:textId="77777777" w:rsidR="00ED6E90" w:rsidRDefault="00ED6E90" w:rsidP="00C7136C">
      <w:pPr>
        <w:pStyle w:val="NormalWeb"/>
        <w:shd w:val="clear" w:color="auto" w:fill="FFFFFF"/>
        <w:spacing w:before="0" w:beforeAutospacing="0" w:after="30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>The following table lists the most common body fluids and the organisms of concern, as well as how the source commonly transmits disease:</w:t>
      </w:r>
      <w:r>
        <w:rPr>
          <w:rFonts w:ascii="PT Sans" w:hAnsi="PT Sans"/>
          <w:color w:val="000000"/>
          <w:sz w:val="20"/>
          <w:szCs w:val="20"/>
          <w:vertAlign w:val="superscript"/>
        </w:rPr>
        <w:t>5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3766"/>
        <w:gridCol w:w="2947"/>
      </w:tblGrid>
      <w:tr w:rsidR="00ED6E90" w14:paraId="0DD9DFDA" w14:textId="77777777" w:rsidTr="00ED6E90">
        <w:trPr>
          <w:tblHeader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EAD2FDD" w14:textId="77777777" w:rsidR="00ED6E90" w:rsidRPr="00ED6E90" w:rsidRDefault="00ED6E90" w:rsidP="00C7136C">
            <w:pPr>
              <w:rPr>
                <w:rFonts w:ascii="Calibri" w:hAnsi="Calibri" w:cs="Calibri"/>
              </w:rPr>
            </w:pPr>
            <w:r w:rsidRPr="00ED6E90">
              <w:rPr>
                <w:rFonts w:ascii="Calibri" w:hAnsi="Calibri" w:cs="Calibri"/>
                <w:b/>
                <w:bCs/>
              </w:rPr>
              <w:t>BODY FLUID SOURCE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511DA93" w14:textId="77777777" w:rsidR="00ED6E90" w:rsidRPr="00ED6E90" w:rsidRDefault="00ED6E90" w:rsidP="00C7136C">
            <w:pPr>
              <w:rPr>
                <w:rFonts w:ascii="Calibri" w:hAnsi="Calibri" w:cs="Calibri"/>
              </w:rPr>
            </w:pPr>
            <w:r w:rsidRPr="00ED6E90">
              <w:rPr>
                <w:rFonts w:ascii="Calibri" w:hAnsi="Calibri" w:cs="Calibri"/>
                <w:b/>
                <w:bCs/>
              </w:rPr>
              <w:t>ORGANISM(S) OF CONCERN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8FAF01A" w14:textId="77777777" w:rsidR="00ED6E90" w:rsidRPr="00ED6E90" w:rsidRDefault="00ED6E90" w:rsidP="00C7136C">
            <w:pPr>
              <w:rPr>
                <w:rFonts w:ascii="Calibri" w:hAnsi="Calibri" w:cs="Calibri"/>
              </w:rPr>
            </w:pPr>
            <w:r w:rsidRPr="00ED6E90">
              <w:rPr>
                <w:rFonts w:ascii="Calibri" w:hAnsi="Calibri" w:cs="Calibri"/>
                <w:b/>
                <w:bCs/>
              </w:rPr>
              <w:t>PATHWAY FOR TRANSMISSION</w:t>
            </w:r>
          </w:p>
        </w:tc>
      </w:tr>
      <w:tr w:rsidR="00ED6E90" w14:paraId="2EBC9A28" w14:textId="77777777" w:rsidTr="00ED6E90">
        <w:trPr>
          <w:tblHeader/>
          <w:jc w:val="center"/>
        </w:trPr>
        <w:tc>
          <w:tcPr>
            <w:tcW w:w="0" w:type="auto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A6D6FD4" w14:textId="77777777" w:rsidR="00ED6E90" w:rsidRPr="00ED6E90" w:rsidRDefault="00ED6E90" w:rsidP="00C7136C">
            <w:pPr>
              <w:rPr>
                <w:rFonts w:ascii="Calibri" w:hAnsi="Calibri" w:cs="Calibri"/>
              </w:rPr>
            </w:pPr>
            <w:r w:rsidRPr="00ED6E90">
              <w:rPr>
                <w:rFonts w:ascii="Calibri" w:hAnsi="Calibri" w:cs="Calibri"/>
              </w:rPr>
              <w:t>Blood, such as cuts and abrasions, nosebleeds, contaminated needles*</w:t>
            </w:r>
          </w:p>
        </w:tc>
        <w:tc>
          <w:tcPr>
            <w:tcW w:w="0" w:type="auto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3681CB6" w14:textId="77777777" w:rsidR="00ED6E90" w:rsidRPr="00ED6E90" w:rsidRDefault="00ED6E90" w:rsidP="00C7136C">
            <w:pPr>
              <w:rPr>
                <w:rFonts w:ascii="Calibri" w:hAnsi="Calibri" w:cs="Calibri"/>
              </w:rPr>
            </w:pPr>
            <w:r w:rsidRPr="00ED6E90">
              <w:rPr>
                <w:rFonts w:ascii="Calibri" w:hAnsi="Calibri" w:cs="Calibri"/>
              </w:rPr>
              <w:t>Hepatitis B, AIDS virus, Cytomegalovirus</w:t>
            </w:r>
          </w:p>
        </w:tc>
        <w:tc>
          <w:tcPr>
            <w:tcW w:w="0" w:type="auto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C226654" w14:textId="77777777" w:rsidR="00ED6E90" w:rsidRPr="00ED6E90" w:rsidRDefault="00ED6E90" w:rsidP="00C7136C">
            <w:pPr>
              <w:rPr>
                <w:rFonts w:ascii="Calibri" w:hAnsi="Calibri" w:cs="Calibri"/>
              </w:rPr>
            </w:pPr>
            <w:r w:rsidRPr="00ED6E90">
              <w:rPr>
                <w:rFonts w:ascii="Calibri" w:hAnsi="Calibri" w:cs="Calibri"/>
              </w:rPr>
              <w:t>Cuts and abrasions; direct bloodstream inoculation</w:t>
            </w:r>
          </w:p>
        </w:tc>
      </w:tr>
      <w:tr w:rsidR="00ED6E90" w14:paraId="3B0631E4" w14:textId="77777777" w:rsidTr="00ED6E90">
        <w:trPr>
          <w:tblHeader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472AAC1" w14:textId="77777777" w:rsidR="00ED6E90" w:rsidRPr="00ED6E90" w:rsidRDefault="00ED6E90" w:rsidP="00C7136C">
            <w:pPr>
              <w:rPr>
                <w:rFonts w:ascii="Calibri" w:hAnsi="Calibri" w:cs="Calibri"/>
              </w:rPr>
            </w:pPr>
            <w:r w:rsidRPr="00ED6E90">
              <w:rPr>
                <w:rFonts w:ascii="Calibri" w:hAnsi="Calibri" w:cs="Calibri"/>
              </w:rPr>
              <w:t>Feces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E0D66C3" w14:textId="77777777" w:rsidR="00ED6E90" w:rsidRPr="00ED6E90" w:rsidRDefault="00ED6E90" w:rsidP="00C7136C">
            <w:pPr>
              <w:rPr>
                <w:rFonts w:ascii="Calibri" w:hAnsi="Calibri" w:cs="Calibri"/>
              </w:rPr>
            </w:pPr>
            <w:r w:rsidRPr="00ED6E90">
              <w:rPr>
                <w:rFonts w:ascii="Calibri" w:hAnsi="Calibri" w:cs="Calibri"/>
              </w:rPr>
              <w:t>Salmonella, shigella, rotavirus, hepatitis A virus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32C069B" w14:textId="77777777" w:rsidR="00ED6E90" w:rsidRPr="00ED6E90" w:rsidRDefault="00ED6E90" w:rsidP="00C7136C">
            <w:pPr>
              <w:rPr>
                <w:rFonts w:ascii="Calibri" w:hAnsi="Calibri" w:cs="Calibri"/>
              </w:rPr>
            </w:pPr>
            <w:r w:rsidRPr="00ED6E90">
              <w:rPr>
                <w:rFonts w:ascii="Calibri" w:hAnsi="Calibri" w:cs="Calibri"/>
              </w:rPr>
              <w:t>Contaminated hands</w:t>
            </w:r>
          </w:p>
        </w:tc>
      </w:tr>
      <w:tr w:rsidR="00ED6E90" w14:paraId="1E770ABA" w14:textId="77777777" w:rsidTr="00ED6E90">
        <w:trPr>
          <w:tblHeader/>
          <w:jc w:val="center"/>
        </w:trPr>
        <w:tc>
          <w:tcPr>
            <w:tcW w:w="0" w:type="auto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7B4B98A" w14:textId="77777777" w:rsidR="00ED6E90" w:rsidRPr="00ED6E90" w:rsidRDefault="00ED6E90" w:rsidP="00C7136C">
            <w:pPr>
              <w:rPr>
                <w:rFonts w:ascii="Calibri" w:hAnsi="Calibri" w:cs="Calibri"/>
              </w:rPr>
            </w:pPr>
            <w:r w:rsidRPr="00ED6E90">
              <w:rPr>
                <w:rFonts w:ascii="Calibri" w:hAnsi="Calibri" w:cs="Calibri"/>
              </w:rPr>
              <w:t>Urine</w:t>
            </w:r>
          </w:p>
        </w:tc>
        <w:tc>
          <w:tcPr>
            <w:tcW w:w="0" w:type="auto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B3EC86F" w14:textId="77777777" w:rsidR="00ED6E90" w:rsidRPr="00ED6E90" w:rsidRDefault="00ED6E90" w:rsidP="00C7136C">
            <w:pPr>
              <w:rPr>
                <w:rFonts w:ascii="Calibri" w:hAnsi="Calibri" w:cs="Calibri"/>
              </w:rPr>
            </w:pPr>
            <w:r w:rsidRPr="00ED6E90">
              <w:rPr>
                <w:rFonts w:ascii="Calibri" w:hAnsi="Calibri" w:cs="Calibri"/>
              </w:rPr>
              <w:t>Cytomegalovirus</w:t>
            </w:r>
          </w:p>
        </w:tc>
        <w:tc>
          <w:tcPr>
            <w:tcW w:w="0" w:type="auto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29C3A57" w14:textId="77777777" w:rsidR="00ED6E90" w:rsidRPr="00ED6E90" w:rsidRDefault="00ED6E90" w:rsidP="00C7136C">
            <w:pPr>
              <w:rPr>
                <w:rFonts w:ascii="Calibri" w:hAnsi="Calibri" w:cs="Calibri"/>
              </w:rPr>
            </w:pPr>
            <w:r w:rsidRPr="00ED6E90">
              <w:rPr>
                <w:rFonts w:ascii="Calibri" w:hAnsi="Calibri" w:cs="Calibri"/>
              </w:rPr>
              <w:t>Contaminated hands</w:t>
            </w:r>
          </w:p>
        </w:tc>
      </w:tr>
      <w:tr w:rsidR="00ED6E90" w14:paraId="4DE27B90" w14:textId="77777777" w:rsidTr="00ED6E90">
        <w:trPr>
          <w:tblHeader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7E3435B" w14:textId="77777777" w:rsidR="00ED6E90" w:rsidRPr="00ED6E90" w:rsidRDefault="00ED6E90" w:rsidP="00C7136C">
            <w:pPr>
              <w:rPr>
                <w:rFonts w:ascii="Calibri" w:hAnsi="Calibri" w:cs="Calibri"/>
              </w:rPr>
            </w:pPr>
            <w:r w:rsidRPr="00ED6E90">
              <w:rPr>
                <w:rFonts w:ascii="Calibri" w:hAnsi="Calibri" w:cs="Calibri"/>
              </w:rPr>
              <w:t>Vomitus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49BE654" w14:textId="77777777" w:rsidR="00ED6E90" w:rsidRPr="00ED6E90" w:rsidRDefault="00ED6E90" w:rsidP="00C7136C">
            <w:pPr>
              <w:rPr>
                <w:rFonts w:ascii="Calibri" w:hAnsi="Calibri" w:cs="Calibri"/>
              </w:rPr>
            </w:pPr>
            <w:r w:rsidRPr="00ED6E90">
              <w:rPr>
                <w:rFonts w:ascii="Calibri" w:hAnsi="Calibri" w:cs="Calibri"/>
              </w:rPr>
              <w:t>Norovirus, rotavirus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BE0106A" w14:textId="77777777" w:rsidR="00ED6E90" w:rsidRPr="00ED6E90" w:rsidRDefault="00ED6E90" w:rsidP="00C7136C">
            <w:pPr>
              <w:rPr>
                <w:rFonts w:ascii="Calibri" w:hAnsi="Calibri" w:cs="Calibri"/>
              </w:rPr>
            </w:pPr>
            <w:r w:rsidRPr="00ED6E90">
              <w:rPr>
                <w:rFonts w:ascii="Calibri" w:hAnsi="Calibri" w:cs="Calibri"/>
              </w:rPr>
              <w:t>Contaminated hands</w:t>
            </w:r>
          </w:p>
        </w:tc>
      </w:tr>
      <w:tr w:rsidR="00ED6E90" w14:paraId="1FA43FB5" w14:textId="77777777" w:rsidTr="00ED6E90">
        <w:trPr>
          <w:tblHeader/>
          <w:jc w:val="center"/>
        </w:trPr>
        <w:tc>
          <w:tcPr>
            <w:tcW w:w="0" w:type="auto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4AB20FA" w14:textId="77777777" w:rsidR="00ED6E90" w:rsidRPr="00ED6E90" w:rsidRDefault="00ED6E90" w:rsidP="00C7136C">
            <w:pPr>
              <w:rPr>
                <w:rFonts w:ascii="Calibri" w:hAnsi="Calibri" w:cs="Calibri"/>
              </w:rPr>
            </w:pPr>
            <w:r w:rsidRPr="00ED6E90">
              <w:rPr>
                <w:rFonts w:ascii="Calibri" w:hAnsi="Calibri" w:cs="Calibri"/>
              </w:rPr>
              <w:t>Respiratory secretions, such as nasal and saliva discharges</w:t>
            </w:r>
          </w:p>
        </w:tc>
        <w:tc>
          <w:tcPr>
            <w:tcW w:w="0" w:type="auto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41CCC3F" w14:textId="77777777" w:rsidR="00ED6E90" w:rsidRPr="00ED6E90" w:rsidRDefault="00ED6E90" w:rsidP="00C7136C">
            <w:pPr>
              <w:rPr>
                <w:rFonts w:ascii="Calibri" w:hAnsi="Calibri" w:cs="Calibri"/>
              </w:rPr>
            </w:pPr>
            <w:r w:rsidRPr="00ED6E90">
              <w:rPr>
                <w:rFonts w:ascii="Calibri" w:hAnsi="Calibri" w:cs="Calibri"/>
              </w:rPr>
              <w:t>Mononucleosis virus, common cold virus, influenza virus, hepatitis B virus, AIDS virus</w:t>
            </w:r>
          </w:p>
        </w:tc>
        <w:tc>
          <w:tcPr>
            <w:tcW w:w="0" w:type="auto"/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FD453EB" w14:textId="77777777" w:rsidR="00ED6E90" w:rsidRPr="00ED6E90" w:rsidRDefault="00ED6E90" w:rsidP="00C7136C">
            <w:pPr>
              <w:rPr>
                <w:rFonts w:ascii="Calibri" w:hAnsi="Calibri" w:cs="Calibri"/>
              </w:rPr>
            </w:pPr>
            <w:r w:rsidRPr="00ED6E90">
              <w:rPr>
                <w:rFonts w:ascii="Calibri" w:hAnsi="Calibri" w:cs="Calibri"/>
              </w:rPr>
              <w:t>Contaminated hands; cuts and abrasions; bites</w:t>
            </w:r>
          </w:p>
        </w:tc>
      </w:tr>
    </w:tbl>
    <w:p w14:paraId="52F8C2EF" w14:textId="27C4C49A" w:rsidR="00ED6E90" w:rsidRDefault="00000000" w:rsidP="00C7136C">
      <w:pPr>
        <w:rPr>
          <w:rStyle w:val="Hyperlink"/>
          <w:rFonts w:ascii="Calibri" w:hAnsi="Calibri" w:cs="Calibri"/>
        </w:rPr>
      </w:pPr>
      <w:hyperlink r:id="rId9" w:history="1">
        <w:r w:rsidR="00ED6E90" w:rsidRPr="00DE3D0B">
          <w:rPr>
            <w:rStyle w:val="Hyperlink"/>
            <w:rFonts w:ascii="Calibri" w:hAnsi="Calibri" w:cs="Calibri"/>
          </w:rPr>
          <w:t>https://bakerpedia.com/food-safety/body-fluid-control-program/</w:t>
        </w:r>
      </w:hyperlink>
    </w:p>
    <w:p w14:paraId="57170A8D" w14:textId="1125D680" w:rsidR="007F7A4A" w:rsidRPr="00C05E79" w:rsidRDefault="007F7A4A" w:rsidP="00C7136C">
      <w:pPr>
        <w:rPr>
          <w:rStyle w:val="Hyperlink"/>
          <w:rFonts w:ascii="Calibri" w:hAnsi="Calibri" w:cs="Calibri"/>
          <w:color w:val="auto"/>
          <w:u w:val="none"/>
        </w:rPr>
      </w:pPr>
      <w:r w:rsidRPr="00C05E79">
        <w:rPr>
          <w:rStyle w:val="Hyperlink"/>
          <w:rFonts w:ascii="Calibri" w:hAnsi="Calibri" w:cs="Calibri"/>
          <w:color w:val="auto"/>
          <w:u w:val="none"/>
        </w:rPr>
        <w:t>(</w:t>
      </w:r>
      <w:proofErr w:type="gramStart"/>
      <w:r w:rsidRPr="00C05E79">
        <w:rPr>
          <w:rStyle w:val="Hyperlink"/>
          <w:rFonts w:ascii="Calibri" w:hAnsi="Calibri" w:cs="Calibri"/>
          <w:color w:val="auto"/>
          <w:u w:val="none"/>
        </w:rPr>
        <w:t>accessed</w:t>
      </w:r>
      <w:proofErr w:type="gramEnd"/>
      <w:r w:rsidRPr="00C05E79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C05E79" w:rsidRPr="00C05E79">
        <w:rPr>
          <w:rStyle w:val="Hyperlink"/>
          <w:rFonts w:ascii="Calibri" w:hAnsi="Calibri" w:cs="Calibri"/>
          <w:color w:val="auto"/>
          <w:u w:val="none"/>
        </w:rPr>
        <w:t>June 1, 2022)</w:t>
      </w:r>
    </w:p>
    <w:p w14:paraId="5C615221" w14:textId="77777777" w:rsidR="007F7A4A" w:rsidRDefault="007F7A4A" w:rsidP="00C7136C">
      <w:pPr>
        <w:rPr>
          <w:rFonts w:ascii="Calibri" w:hAnsi="Calibri" w:cs="Calibri"/>
        </w:rPr>
      </w:pPr>
    </w:p>
    <w:p w14:paraId="74FBA686" w14:textId="77777777" w:rsidR="00A645D8" w:rsidRDefault="00A645D8" w:rsidP="00C7136C">
      <w:pPr>
        <w:rPr>
          <w:rFonts w:ascii="Calibri" w:hAnsi="Calibri" w:cs="Calibri"/>
        </w:rPr>
        <w:sectPr w:rsidR="00A645D8" w:rsidSect="00BE2AE4">
          <w:headerReference w:type="default" r:id="rId10"/>
          <w:footerReference w:type="default" r:id="rId11"/>
          <w:pgSz w:w="12240" w:h="15840"/>
          <w:pgMar w:top="1134" w:right="1134" w:bottom="1134" w:left="1134" w:header="709" w:footer="567" w:gutter="0"/>
          <w:cols w:space="720"/>
          <w:docGrid w:linePitch="360"/>
        </w:sect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165"/>
        <w:gridCol w:w="3354"/>
        <w:gridCol w:w="2261"/>
        <w:gridCol w:w="2260"/>
        <w:gridCol w:w="2261"/>
        <w:gridCol w:w="2261"/>
      </w:tblGrid>
      <w:tr w:rsidR="00250766" w14:paraId="2CEDC786" w14:textId="77777777" w:rsidTr="002C53B5">
        <w:trPr>
          <w:trHeight w:val="629"/>
          <w:jc w:val="center"/>
        </w:trPr>
        <w:tc>
          <w:tcPr>
            <w:tcW w:w="13562" w:type="dxa"/>
            <w:gridSpan w:val="6"/>
            <w:shd w:val="pct12" w:color="auto" w:fill="auto"/>
          </w:tcPr>
          <w:p w14:paraId="6C1641F8" w14:textId="44157074" w:rsidR="00250766" w:rsidRPr="00C56917" w:rsidRDefault="00C56917" w:rsidP="00A679CF">
            <w:pPr>
              <w:rPr>
                <w:rFonts w:ascii="Calibri" w:hAnsi="Calibri" w:cs="Calibri"/>
                <w:sz w:val="36"/>
                <w:szCs w:val="36"/>
              </w:rPr>
            </w:pPr>
            <w:r w:rsidRPr="00C56917">
              <w:rPr>
                <w:rFonts w:ascii="Calibri" w:hAnsi="Calibri" w:cs="Calibri"/>
                <w:sz w:val="36"/>
                <w:szCs w:val="36"/>
              </w:rPr>
              <w:lastRenderedPageBreak/>
              <w:t>Blood Incident Record</w:t>
            </w:r>
          </w:p>
        </w:tc>
      </w:tr>
      <w:tr w:rsidR="00A679CF" w:rsidRPr="002C53B5" w14:paraId="5CB5411C" w14:textId="77777777" w:rsidTr="002C53B5">
        <w:trPr>
          <w:trHeight w:val="629"/>
          <w:jc w:val="center"/>
        </w:trPr>
        <w:tc>
          <w:tcPr>
            <w:tcW w:w="1165" w:type="dxa"/>
            <w:shd w:val="pct12" w:color="auto" w:fill="auto"/>
            <w:vAlign w:val="center"/>
          </w:tcPr>
          <w:p w14:paraId="5355B6D5" w14:textId="5CAEFDEA" w:rsidR="00A679CF" w:rsidRPr="002C53B5" w:rsidRDefault="005F1AAD" w:rsidP="00F3153C">
            <w:pPr>
              <w:jc w:val="center"/>
              <w:rPr>
                <w:rFonts w:ascii="Calibri" w:hAnsi="Calibri" w:cs="Calibri"/>
              </w:rPr>
            </w:pPr>
            <w:r w:rsidRPr="002C53B5">
              <w:rPr>
                <w:rFonts w:ascii="Calibri" w:hAnsi="Calibri" w:cs="Calibri"/>
              </w:rPr>
              <w:t>Date</w:t>
            </w:r>
          </w:p>
        </w:tc>
        <w:tc>
          <w:tcPr>
            <w:tcW w:w="3354" w:type="dxa"/>
            <w:shd w:val="pct12" w:color="auto" w:fill="auto"/>
            <w:vAlign w:val="center"/>
          </w:tcPr>
          <w:p w14:paraId="1A53E89E" w14:textId="51462727" w:rsidR="00A679CF" w:rsidRPr="002C53B5" w:rsidRDefault="005F1AAD" w:rsidP="00F3153C">
            <w:pPr>
              <w:jc w:val="center"/>
              <w:rPr>
                <w:rFonts w:ascii="Calibri" w:hAnsi="Calibri" w:cs="Calibri"/>
              </w:rPr>
            </w:pPr>
            <w:r w:rsidRPr="002C53B5">
              <w:rPr>
                <w:rFonts w:ascii="Calibri" w:hAnsi="Calibri" w:cs="Calibri"/>
              </w:rPr>
              <w:t>Description of Incident</w:t>
            </w:r>
          </w:p>
        </w:tc>
        <w:tc>
          <w:tcPr>
            <w:tcW w:w="2261" w:type="dxa"/>
            <w:shd w:val="pct12" w:color="auto" w:fill="auto"/>
            <w:vAlign w:val="center"/>
          </w:tcPr>
          <w:p w14:paraId="200FA3B5" w14:textId="183AA993" w:rsidR="00A679CF" w:rsidRPr="002C53B5" w:rsidRDefault="0075741A" w:rsidP="00F3153C">
            <w:pPr>
              <w:jc w:val="center"/>
              <w:rPr>
                <w:rFonts w:ascii="Calibri" w:hAnsi="Calibri" w:cs="Calibri"/>
              </w:rPr>
            </w:pPr>
            <w:r w:rsidRPr="002C53B5">
              <w:rPr>
                <w:rFonts w:ascii="Calibri" w:hAnsi="Calibri" w:cs="Calibri"/>
              </w:rPr>
              <w:t>Name of HUB User injured</w:t>
            </w:r>
          </w:p>
        </w:tc>
        <w:tc>
          <w:tcPr>
            <w:tcW w:w="2260" w:type="dxa"/>
            <w:shd w:val="pct12" w:color="auto" w:fill="auto"/>
            <w:vAlign w:val="center"/>
          </w:tcPr>
          <w:p w14:paraId="130813F9" w14:textId="03CC450E" w:rsidR="00A679CF" w:rsidRPr="002C53B5" w:rsidRDefault="005F1AAD" w:rsidP="00F3153C">
            <w:pPr>
              <w:jc w:val="center"/>
              <w:rPr>
                <w:rFonts w:ascii="Calibri" w:hAnsi="Calibri" w:cs="Calibri"/>
              </w:rPr>
            </w:pPr>
            <w:r w:rsidRPr="002C53B5">
              <w:rPr>
                <w:rFonts w:ascii="Calibri" w:hAnsi="Calibri" w:cs="Calibri"/>
              </w:rPr>
              <w:t xml:space="preserve">Procedures completed </w:t>
            </w:r>
            <w:r w:rsidR="00BD50D7" w:rsidRPr="002C53B5">
              <w:rPr>
                <w:rFonts w:ascii="Calibri" w:hAnsi="Calibri" w:cs="Calibri"/>
              </w:rPr>
              <w:t>(describe action)</w:t>
            </w:r>
          </w:p>
        </w:tc>
        <w:tc>
          <w:tcPr>
            <w:tcW w:w="2261" w:type="dxa"/>
            <w:shd w:val="pct12" w:color="auto" w:fill="auto"/>
            <w:vAlign w:val="center"/>
          </w:tcPr>
          <w:p w14:paraId="37F2FA4B" w14:textId="1A897CF8" w:rsidR="00A679CF" w:rsidRPr="002C53B5" w:rsidRDefault="0075741A" w:rsidP="00F3153C">
            <w:pPr>
              <w:jc w:val="center"/>
              <w:rPr>
                <w:rFonts w:ascii="Calibri" w:hAnsi="Calibri" w:cs="Calibri"/>
              </w:rPr>
            </w:pPr>
            <w:r w:rsidRPr="002C53B5">
              <w:rPr>
                <w:rFonts w:ascii="Calibri" w:hAnsi="Calibri" w:cs="Calibri"/>
              </w:rPr>
              <w:t>Reported by</w:t>
            </w:r>
          </w:p>
        </w:tc>
        <w:tc>
          <w:tcPr>
            <w:tcW w:w="2261" w:type="dxa"/>
            <w:shd w:val="pct12" w:color="auto" w:fill="auto"/>
            <w:vAlign w:val="center"/>
          </w:tcPr>
          <w:p w14:paraId="7F78E9FB" w14:textId="7F857818" w:rsidR="00A679CF" w:rsidRPr="002C53B5" w:rsidRDefault="00F3153C" w:rsidP="00F3153C">
            <w:pPr>
              <w:jc w:val="center"/>
              <w:rPr>
                <w:rFonts w:ascii="Calibri" w:hAnsi="Calibri" w:cs="Calibri"/>
              </w:rPr>
            </w:pPr>
            <w:r w:rsidRPr="002C53B5">
              <w:rPr>
                <w:rFonts w:ascii="Calibri" w:hAnsi="Calibri" w:cs="Calibri"/>
              </w:rPr>
              <w:t>Signature of Investigator</w:t>
            </w:r>
          </w:p>
        </w:tc>
      </w:tr>
      <w:tr w:rsidR="00A679CF" w14:paraId="6AEA3124" w14:textId="77777777" w:rsidTr="00C56917">
        <w:trPr>
          <w:trHeight w:val="1440"/>
          <w:jc w:val="center"/>
        </w:trPr>
        <w:tc>
          <w:tcPr>
            <w:tcW w:w="1165" w:type="dxa"/>
          </w:tcPr>
          <w:p w14:paraId="308FC3FD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  <w:tc>
          <w:tcPr>
            <w:tcW w:w="3354" w:type="dxa"/>
          </w:tcPr>
          <w:p w14:paraId="165E7B35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  <w:tc>
          <w:tcPr>
            <w:tcW w:w="2261" w:type="dxa"/>
          </w:tcPr>
          <w:p w14:paraId="41A95FDE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  <w:tc>
          <w:tcPr>
            <w:tcW w:w="2260" w:type="dxa"/>
          </w:tcPr>
          <w:p w14:paraId="19CFA9A8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  <w:tc>
          <w:tcPr>
            <w:tcW w:w="2261" w:type="dxa"/>
          </w:tcPr>
          <w:p w14:paraId="4EAC5BFC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  <w:tc>
          <w:tcPr>
            <w:tcW w:w="2261" w:type="dxa"/>
          </w:tcPr>
          <w:p w14:paraId="4551B71A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</w:tr>
      <w:tr w:rsidR="00A679CF" w14:paraId="772B13C6" w14:textId="77777777" w:rsidTr="00C56917">
        <w:trPr>
          <w:trHeight w:val="1440"/>
          <w:jc w:val="center"/>
        </w:trPr>
        <w:tc>
          <w:tcPr>
            <w:tcW w:w="1165" w:type="dxa"/>
          </w:tcPr>
          <w:p w14:paraId="356C23F8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  <w:tc>
          <w:tcPr>
            <w:tcW w:w="3354" w:type="dxa"/>
          </w:tcPr>
          <w:p w14:paraId="10ACBE88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  <w:tc>
          <w:tcPr>
            <w:tcW w:w="2261" w:type="dxa"/>
          </w:tcPr>
          <w:p w14:paraId="4E162E4A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  <w:tc>
          <w:tcPr>
            <w:tcW w:w="2260" w:type="dxa"/>
          </w:tcPr>
          <w:p w14:paraId="43FAA047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  <w:tc>
          <w:tcPr>
            <w:tcW w:w="2261" w:type="dxa"/>
          </w:tcPr>
          <w:p w14:paraId="00E3A401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  <w:tc>
          <w:tcPr>
            <w:tcW w:w="2261" w:type="dxa"/>
          </w:tcPr>
          <w:p w14:paraId="38177688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</w:tr>
      <w:tr w:rsidR="00A679CF" w14:paraId="5C7EBEA1" w14:textId="77777777" w:rsidTr="00C56917">
        <w:trPr>
          <w:trHeight w:val="1440"/>
          <w:jc w:val="center"/>
        </w:trPr>
        <w:tc>
          <w:tcPr>
            <w:tcW w:w="1165" w:type="dxa"/>
          </w:tcPr>
          <w:p w14:paraId="4AA28C77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  <w:tc>
          <w:tcPr>
            <w:tcW w:w="3354" w:type="dxa"/>
          </w:tcPr>
          <w:p w14:paraId="58F37CAF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  <w:tc>
          <w:tcPr>
            <w:tcW w:w="2261" w:type="dxa"/>
          </w:tcPr>
          <w:p w14:paraId="10031C0B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  <w:tc>
          <w:tcPr>
            <w:tcW w:w="2260" w:type="dxa"/>
          </w:tcPr>
          <w:p w14:paraId="62579CFF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  <w:tc>
          <w:tcPr>
            <w:tcW w:w="2261" w:type="dxa"/>
          </w:tcPr>
          <w:p w14:paraId="562EDC05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  <w:tc>
          <w:tcPr>
            <w:tcW w:w="2261" w:type="dxa"/>
          </w:tcPr>
          <w:p w14:paraId="5EBB8F8B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</w:tr>
      <w:tr w:rsidR="00A679CF" w14:paraId="1D5A6099" w14:textId="77777777" w:rsidTr="00C56917">
        <w:trPr>
          <w:trHeight w:val="1440"/>
          <w:jc w:val="center"/>
        </w:trPr>
        <w:tc>
          <w:tcPr>
            <w:tcW w:w="1165" w:type="dxa"/>
          </w:tcPr>
          <w:p w14:paraId="05641F5A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  <w:tc>
          <w:tcPr>
            <w:tcW w:w="3354" w:type="dxa"/>
          </w:tcPr>
          <w:p w14:paraId="6D1372A5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  <w:tc>
          <w:tcPr>
            <w:tcW w:w="2261" w:type="dxa"/>
          </w:tcPr>
          <w:p w14:paraId="1E221190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  <w:tc>
          <w:tcPr>
            <w:tcW w:w="2260" w:type="dxa"/>
          </w:tcPr>
          <w:p w14:paraId="1C089143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  <w:tc>
          <w:tcPr>
            <w:tcW w:w="2261" w:type="dxa"/>
          </w:tcPr>
          <w:p w14:paraId="0FB989EA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  <w:tc>
          <w:tcPr>
            <w:tcW w:w="2261" w:type="dxa"/>
          </w:tcPr>
          <w:p w14:paraId="5BEC8FED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</w:tr>
      <w:tr w:rsidR="00A679CF" w14:paraId="5121EDF8" w14:textId="77777777" w:rsidTr="00C56917">
        <w:trPr>
          <w:trHeight w:val="1440"/>
          <w:jc w:val="center"/>
        </w:trPr>
        <w:tc>
          <w:tcPr>
            <w:tcW w:w="1165" w:type="dxa"/>
          </w:tcPr>
          <w:p w14:paraId="2F389DD5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  <w:tc>
          <w:tcPr>
            <w:tcW w:w="3354" w:type="dxa"/>
          </w:tcPr>
          <w:p w14:paraId="2A0BBC76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  <w:tc>
          <w:tcPr>
            <w:tcW w:w="2261" w:type="dxa"/>
          </w:tcPr>
          <w:p w14:paraId="1F49CAAB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  <w:tc>
          <w:tcPr>
            <w:tcW w:w="2260" w:type="dxa"/>
          </w:tcPr>
          <w:p w14:paraId="6CF0C6C1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  <w:tc>
          <w:tcPr>
            <w:tcW w:w="2261" w:type="dxa"/>
          </w:tcPr>
          <w:p w14:paraId="6C05C2A3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  <w:tc>
          <w:tcPr>
            <w:tcW w:w="2261" w:type="dxa"/>
          </w:tcPr>
          <w:p w14:paraId="3408D00A" w14:textId="77777777" w:rsidR="00A679CF" w:rsidRDefault="00A679CF" w:rsidP="00A679CF">
            <w:pPr>
              <w:rPr>
                <w:rFonts w:ascii="Calibri" w:hAnsi="Calibri" w:cs="Calibri"/>
              </w:rPr>
            </w:pPr>
          </w:p>
        </w:tc>
      </w:tr>
    </w:tbl>
    <w:p w14:paraId="1C4AA1FC" w14:textId="3F63F7D3" w:rsidR="00ED6E90" w:rsidRPr="0013026D" w:rsidRDefault="00ED6E90" w:rsidP="00D76293">
      <w:pPr>
        <w:rPr>
          <w:rFonts w:ascii="Calibri" w:hAnsi="Calibri" w:cs="Calibri"/>
        </w:rPr>
      </w:pPr>
    </w:p>
    <w:sectPr w:rsidR="00ED6E90" w:rsidRPr="0013026D" w:rsidSect="002A42DA">
      <w:headerReference w:type="default" r:id="rId12"/>
      <w:pgSz w:w="15840" w:h="12240" w:orient="landscape"/>
      <w:pgMar w:top="1134" w:right="1134" w:bottom="1134" w:left="1134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3D22" w14:textId="77777777" w:rsidR="00721ECC" w:rsidRDefault="00721ECC" w:rsidP="000D2077">
      <w:r>
        <w:separator/>
      </w:r>
    </w:p>
  </w:endnote>
  <w:endnote w:type="continuationSeparator" w:id="0">
    <w:p w14:paraId="5F665AD1" w14:textId="77777777" w:rsidR="00721ECC" w:rsidRDefault="00721ECC" w:rsidP="000D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9945" w14:textId="041F8EBC" w:rsidR="00190881" w:rsidRPr="0013026D" w:rsidRDefault="00A87A2A" w:rsidP="00061D22">
    <w:pPr>
      <w:pStyle w:val="Footer"/>
      <w:jc w:val="right"/>
      <w:rPr>
        <w:rFonts w:ascii="Calibri" w:hAnsi="Calibri" w:cs="Calibri"/>
      </w:rPr>
    </w:pPr>
    <w:r w:rsidRPr="0013026D">
      <w:rPr>
        <w:rFonts w:ascii="Calibri" w:hAnsi="Calibri" w:cs="Calibri"/>
      </w:rPr>
      <w:fldChar w:fldCharType="begin"/>
    </w:r>
    <w:r w:rsidRPr="0013026D">
      <w:rPr>
        <w:rFonts w:ascii="Calibri" w:hAnsi="Calibri" w:cs="Calibri"/>
      </w:rPr>
      <w:instrText xml:space="preserve"> FILENAME   \* MERGEFORMAT </w:instrText>
    </w:r>
    <w:r w:rsidRPr="0013026D">
      <w:rPr>
        <w:rFonts w:ascii="Calibri" w:hAnsi="Calibri" w:cs="Calibri"/>
      </w:rPr>
      <w:fldChar w:fldCharType="separate"/>
    </w:r>
    <w:r w:rsidR="001A2783">
      <w:rPr>
        <w:rFonts w:ascii="Calibri" w:hAnsi="Calibri" w:cs="Calibri"/>
        <w:noProof/>
      </w:rPr>
      <w:t>HUB.PT.POL.121 Clean Up of Blood and Bodily Fluid Policy</w:t>
    </w:r>
    <w:r w:rsidRPr="0013026D">
      <w:rPr>
        <w:rFonts w:ascii="Calibri" w:hAnsi="Calibri" w:cs="Calibri"/>
      </w:rPr>
      <w:fldChar w:fldCharType="end"/>
    </w:r>
  </w:p>
  <w:p w14:paraId="10DD2801" w14:textId="04692DC6" w:rsidR="003328DE" w:rsidRPr="0013026D" w:rsidRDefault="003328DE" w:rsidP="00061D22">
    <w:pPr>
      <w:pStyle w:val="Footer"/>
      <w:jc w:val="right"/>
      <w:rPr>
        <w:rFonts w:ascii="Calibri" w:hAnsi="Calibri" w:cs="Calibri"/>
      </w:rPr>
    </w:pPr>
    <w:r w:rsidRPr="0013026D">
      <w:rPr>
        <w:rFonts w:ascii="Calibri" w:hAnsi="Calibri" w:cs="Calibri"/>
        <w:color w:val="000000"/>
      </w:rPr>
      <w:t xml:space="preserve">Page# </w:t>
    </w:r>
    <w:r w:rsidRPr="0013026D">
      <w:rPr>
        <w:rStyle w:val="PageNumber"/>
        <w:rFonts w:ascii="Calibri" w:hAnsi="Calibri" w:cs="Calibri"/>
      </w:rPr>
      <w:fldChar w:fldCharType="begin"/>
    </w:r>
    <w:r w:rsidRPr="0013026D">
      <w:rPr>
        <w:rStyle w:val="PageNumber"/>
        <w:rFonts w:ascii="Calibri" w:hAnsi="Calibri" w:cs="Calibri"/>
      </w:rPr>
      <w:instrText xml:space="preserve"> PAGE </w:instrText>
    </w:r>
    <w:r w:rsidRPr="0013026D">
      <w:rPr>
        <w:rStyle w:val="PageNumber"/>
        <w:rFonts w:ascii="Calibri" w:hAnsi="Calibri" w:cs="Calibri"/>
      </w:rPr>
      <w:fldChar w:fldCharType="separate"/>
    </w:r>
    <w:r w:rsidRPr="0013026D">
      <w:rPr>
        <w:rStyle w:val="PageNumber"/>
        <w:rFonts w:ascii="Calibri" w:hAnsi="Calibri" w:cs="Calibri"/>
      </w:rPr>
      <w:t>1</w:t>
    </w:r>
    <w:r w:rsidRPr="0013026D">
      <w:rPr>
        <w:rStyle w:val="PageNumber"/>
        <w:rFonts w:ascii="Calibri" w:hAnsi="Calibri" w:cs="Calibri"/>
      </w:rPr>
      <w:fldChar w:fldCharType="end"/>
    </w:r>
    <w:r w:rsidRPr="0013026D">
      <w:rPr>
        <w:rStyle w:val="PageNumber"/>
        <w:rFonts w:ascii="Calibri" w:hAnsi="Calibri" w:cs="Calibri"/>
      </w:rPr>
      <w:t xml:space="preserve"> of </w:t>
    </w:r>
    <w:r w:rsidRPr="00DF0350">
      <w:rPr>
        <w:rStyle w:val="PageNumber"/>
        <w:rFonts w:ascii="Calibri" w:hAnsi="Calibri" w:cs="Calibri"/>
      </w:rPr>
      <w:fldChar w:fldCharType="begin"/>
    </w:r>
    <w:r w:rsidRPr="0013026D">
      <w:rPr>
        <w:rStyle w:val="PageNumber"/>
        <w:rFonts w:ascii="Calibri" w:hAnsi="Calibri" w:cs="Calibri"/>
      </w:rPr>
      <w:instrText xml:space="preserve"> NUMPAGES </w:instrText>
    </w:r>
    <w:r w:rsidRPr="00DF0350">
      <w:rPr>
        <w:rStyle w:val="PageNumber"/>
        <w:rFonts w:ascii="Calibri" w:hAnsi="Calibri" w:cs="Calibri"/>
      </w:rPr>
      <w:fldChar w:fldCharType="separate"/>
    </w:r>
    <w:r w:rsidRPr="0013026D">
      <w:rPr>
        <w:rStyle w:val="PageNumber"/>
        <w:rFonts w:ascii="Calibri" w:hAnsi="Calibri" w:cs="Calibri"/>
      </w:rPr>
      <w:t>2</w:t>
    </w:r>
    <w:r w:rsidRPr="00DF0350">
      <w:rPr>
        <w:rStyle w:val="PageNumber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6077" w14:textId="77777777" w:rsidR="00721ECC" w:rsidRDefault="00721ECC" w:rsidP="000D2077">
      <w:r>
        <w:separator/>
      </w:r>
    </w:p>
  </w:footnote>
  <w:footnote w:type="continuationSeparator" w:id="0">
    <w:p w14:paraId="71C671FB" w14:textId="77777777" w:rsidR="00721ECC" w:rsidRDefault="00721ECC" w:rsidP="000D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58"/>
      <w:gridCol w:w="5204"/>
    </w:tblGrid>
    <w:tr w:rsidR="00E247A0" w:rsidRPr="00AC1668" w14:paraId="1A8318EC" w14:textId="77777777" w:rsidTr="00E247A0">
      <w:trPr>
        <w:trHeight w:val="990"/>
        <w:jc w:val="center"/>
      </w:trPr>
      <w:tc>
        <w:tcPr>
          <w:tcW w:w="4758" w:type="dxa"/>
          <w:vAlign w:val="center"/>
        </w:tcPr>
        <w:p w14:paraId="002A17C2" w14:textId="36A2B68E" w:rsidR="00E247A0" w:rsidRPr="00AC1668" w:rsidRDefault="00E247A0" w:rsidP="00E247A0">
          <w:pPr>
            <w:suppressAutoHyphens/>
            <w:spacing w:line="100" w:lineRule="atLeast"/>
            <w:ind w:left="173"/>
            <w:rPr>
              <w:b/>
              <w:color w:val="000000"/>
              <w:sz w:val="14"/>
              <w:szCs w:val="12"/>
              <w:lang w:eastAsia="ar-SA"/>
            </w:rPr>
          </w:pPr>
          <w:r>
            <w:rPr>
              <w:b/>
              <w:noProof/>
              <w:color w:val="000000"/>
              <w:sz w:val="28"/>
              <w:lang w:eastAsia="ar-SA"/>
            </w:rPr>
            <w:drawing>
              <wp:inline distT="0" distB="0" distL="0" distR="0" wp14:anchorId="0737BBBE" wp14:editId="5F4D6183">
                <wp:extent cx="1356360" cy="4953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4" w:type="dxa"/>
          <w:vAlign w:val="center"/>
        </w:tcPr>
        <w:p w14:paraId="69DE15A3" w14:textId="5E103763" w:rsidR="00E247A0" w:rsidRPr="00AC1668" w:rsidRDefault="00E247A0" w:rsidP="00E247A0">
          <w:pPr>
            <w:widowControl w:val="0"/>
            <w:tabs>
              <w:tab w:val="left" w:pos="2304"/>
            </w:tabs>
            <w:kinsoku w:val="0"/>
            <w:overflowPunct w:val="0"/>
            <w:autoSpaceDE w:val="0"/>
            <w:autoSpaceDN w:val="0"/>
            <w:adjustRightInd w:val="0"/>
            <w:ind w:left="176" w:right="282"/>
            <w:rPr>
              <w:rFonts w:ascii="Arial" w:hAnsi="Arial" w:cs="Arial"/>
              <w:spacing w:val="-2"/>
              <w:sz w:val="20"/>
              <w:szCs w:val="20"/>
              <w:lang w:val="it-IT" w:eastAsia="ja-JP"/>
            </w:rPr>
          </w:pPr>
          <w:r w:rsidRPr="00AC1668">
            <w:rPr>
              <w:rFonts w:ascii="Arial" w:hAnsi="Arial" w:cs="Arial"/>
              <w:sz w:val="20"/>
              <w:szCs w:val="20"/>
              <w:lang w:val="it-IT" w:eastAsia="ja-JP"/>
            </w:rPr>
            <w:t>Document</w:t>
          </w:r>
          <w:r w:rsidRPr="00AC1668">
            <w:rPr>
              <w:rFonts w:ascii="Arial" w:hAnsi="Arial" w:cs="Arial"/>
              <w:spacing w:val="-6"/>
              <w:sz w:val="20"/>
              <w:szCs w:val="20"/>
              <w:lang w:val="it-IT" w:eastAsia="ja-JP"/>
            </w:rPr>
            <w:t xml:space="preserve"> </w:t>
          </w:r>
          <w:r w:rsidRPr="00AC1668">
            <w:rPr>
              <w:rFonts w:ascii="Arial" w:hAnsi="Arial" w:cs="Arial"/>
              <w:spacing w:val="-5"/>
              <w:sz w:val="20"/>
              <w:szCs w:val="20"/>
              <w:lang w:val="it-IT" w:eastAsia="ja-JP"/>
            </w:rPr>
            <w:t>No:</w:t>
          </w:r>
          <w:r>
            <w:rPr>
              <w:rFonts w:ascii="Arial" w:hAnsi="Arial" w:cs="Arial"/>
              <w:spacing w:val="-5"/>
              <w:sz w:val="20"/>
              <w:szCs w:val="20"/>
              <w:lang w:val="it-IT" w:eastAsia="ja-JP"/>
            </w:rPr>
            <w:tab/>
          </w:r>
          <w:r>
            <w:rPr>
              <w:rFonts w:ascii="Arial" w:hAnsi="Arial" w:cs="Arial"/>
              <w:spacing w:val="-2"/>
              <w:sz w:val="20"/>
              <w:szCs w:val="20"/>
              <w:lang w:val="it-IT" w:eastAsia="ja-JP"/>
            </w:rPr>
            <w:t>HUB</w:t>
          </w:r>
          <w:r w:rsidRPr="00AC1668">
            <w:rPr>
              <w:rFonts w:ascii="Arial" w:hAnsi="Arial" w:cs="Arial"/>
              <w:spacing w:val="-2"/>
              <w:sz w:val="20"/>
              <w:szCs w:val="20"/>
              <w:lang w:val="it-IT" w:eastAsia="ja-JP"/>
            </w:rPr>
            <w:t>.PT.POL</w:t>
          </w:r>
          <w:r>
            <w:rPr>
              <w:rFonts w:ascii="Arial" w:hAnsi="Arial" w:cs="Arial"/>
              <w:spacing w:val="-2"/>
              <w:sz w:val="20"/>
              <w:szCs w:val="20"/>
              <w:lang w:val="it-IT" w:eastAsia="ja-JP"/>
            </w:rPr>
            <w:t>.121</w:t>
          </w:r>
        </w:p>
        <w:p w14:paraId="07F0F5D9" w14:textId="77777777" w:rsidR="00E247A0" w:rsidRPr="00AC1668" w:rsidRDefault="00E247A0" w:rsidP="00E247A0">
          <w:pPr>
            <w:widowControl w:val="0"/>
            <w:tabs>
              <w:tab w:val="left" w:pos="2304"/>
            </w:tabs>
            <w:kinsoku w:val="0"/>
            <w:overflowPunct w:val="0"/>
            <w:autoSpaceDE w:val="0"/>
            <w:autoSpaceDN w:val="0"/>
            <w:adjustRightInd w:val="0"/>
            <w:ind w:left="176" w:right="282"/>
            <w:rPr>
              <w:rFonts w:ascii="Arial" w:hAnsi="Arial" w:cs="Arial"/>
              <w:spacing w:val="-2"/>
              <w:sz w:val="20"/>
              <w:szCs w:val="20"/>
              <w:lang w:eastAsia="ja-JP"/>
            </w:rPr>
          </w:pPr>
          <w:r w:rsidRPr="00AC1668">
            <w:rPr>
              <w:rFonts w:ascii="Arial" w:hAnsi="Arial" w:cs="Arial"/>
              <w:sz w:val="20"/>
              <w:szCs w:val="20"/>
              <w:lang w:eastAsia="ja-JP"/>
            </w:rPr>
            <w:t>Effective Date:</w:t>
          </w:r>
          <w:r>
            <w:rPr>
              <w:rFonts w:ascii="Arial" w:hAnsi="Arial" w:cs="Arial"/>
              <w:sz w:val="20"/>
              <w:szCs w:val="20"/>
              <w:lang w:eastAsia="ja-JP"/>
            </w:rPr>
            <w:tab/>
          </w:r>
          <w:r w:rsidRPr="00AC1668">
            <w:rPr>
              <w:rFonts w:ascii="Arial" w:hAnsi="Arial" w:cs="Arial"/>
              <w:spacing w:val="-2"/>
              <w:sz w:val="20"/>
              <w:szCs w:val="20"/>
              <w:lang w:eastAsia="ja-JP"/>
            </w:rPr>
            <w:t>01-Jun-22</w:t>
          </w:r>
        </w:p>
        <w:p w14:paraId="42142959" w14:textId="77777777" w:rsidR="00E247A0" w:rsidRPr="00AC1668" w:rsidRDefault="00E247A0" w:rsidP="00E247A0">
          <w:pPr>
            <w:tabs>
              <w:tab w:val="left" w:pos="2304"/>
            </w:tabs>
            <w:suppressAutoHyphens/>
            <w:spacing w:line="100" w:lineRule="atLeast"/>
            <w:ind w:left="183"/>
            <w:rPr>
              <w:sz w:val="20"/>
              <w:lang w:eastAsia="ar-SA"/>
            </w:rPr>
          </w:pPr>
          <w:r w:rsidRPr="00AC1668">
            <w:rPr>
              <w:rFonts w:ascii="Arial" w:hAnsi="Arial" w:cs="Arial"/>
              <w:sz w:val="20"/>
              <w:szCs w:val="20"/>
              <w:lang w:eastAsia="ja-JP"/>
            </w:rPr>
            <w:t>Revision Date:</w:t>
          </w:r>
          <w:r>
            <w:rPr>
              <w:rFonts w:ascii="Arial" w:hAnsi="Arial" w:cs="Arial"/>
              <w:sz w:val="20"/>
              <w:szCs w:val="20"/>
              <w:lang w:eastAsia="ja-JP"/>
            </w:rPr>
            <w:tab/>
          </w:r>
          <w:r w:rsidRPr="00AC1668">
            <w:rPr>
              <w:rFonts w:ascii="Arial" w:hAnsi="Arial" w:cs="Arial"/>
              <w:sz w:val="20"/>
              <w:szCs w:val="20"/>
              <w:lang w:eastAsia="ja-JP"/>
            </w:rPr>
            <w:t>New</w:t>
          </w:r>
          <w:r w:rsidRPr="00AC1668">
            <w:rPr>
              <w:rFonts w:ascii="Arial" w:hAnsi="Arial" w:cs="Arial"/>
              <w:sz w:val="20"/>
              <w:szCs w:val="20"/>
              <w:lang w:eastAsia="ja-JP"/>
            </w:rPr>
            <w:tab/>
          </w:r>
        </w:p>
      </w:tc>
    </w:tr>
    <w:tr w:rsidR="00E247A0" w:rsidRPr="00AC1668" w14:paraId="6023F022" w14:textId="77777777" w:rsidTr="00E247A0">
      <w:trPr>
        <w:trHeight w:val="1119"/>
        <w:jc w:val="center"/>
      </w:trPr>
      <w:tc>
        <w:tcPr>
          <w:tcW w:w="4758" w:type="dxa"/>
          <w:vAlign w:val="center"/>
        </w:tcPr>
        <w:p w14:paraId="325FC431" w14:textId="4C9BBADC" w:rsidR="00E247A0" w:rsidRPr="00AC1668" w:rsidRDefault="00E247A0" w:rsidP="00E247A0">
          <w:pPr>
            <w:suppressAutoHyphens/>
            <w:spacing w:line="100" w:lineRule="atLeast"/>
            <w:jc w:val="center"/>
            <w:rPr>
              <w:rFonts w:ascii="Arial" w:hAnsi="Arial" w:cs="Arial"/>
              <w:b/>
              <w:bCs/>
              <w:lang w:eastAsia="ar-SA"/>
            </w:rPr>
          </w:pPr>
          <w:r w:rsidRPr="00E247A0">
            <w:rPr>
              <w:rFonts w:ascii="Arial" w:hAnsi="Arial" w:cs="Arial"/>
              <w:b/>
              <w:bCs/>
              <w:sz w:val="28"/>
              <w:szCs w:val="28"/>
              <w:lang w:eastAsia="ar-SA"/>
            </w:rPr>
            <w:t>Clean up of Blood and Bodily Fluid Policy</w:t>
          </w:r>
        </w:p>
      </w:tc>
      <w:tc>
        <w:tcPr>
          <w:tcW w:w="5204" w:type="dxa"/>
          <w:vAlign w:val="center"/>
        </w:tcPr>
        <w:p w14:paraId="1EF656F5" w14:textId="77777777" w:rsidR="00E247A0" w:rsidRPr="00AC1668" w:rsidRDefault="00E247A0" w:rsidP="00E247A0">
          <w:pPr>
            <w:widowControl w:val="0"/>
            <w:tabs>
              <w:tab w:val="left" w:pos="2304"/>
              <w:tab w:val="left" w:pos="2423"/>
            </w:tabs>
            <w:kinsoku w:val="0"/>
            <w:overflowPunct w:val="0"/>
            <w:autoSpaceDE w:val="0"/>
            <w:autoSpaceDN w:val="0"/>
            <w:adjustRightInd w:val="0"/>
            <w:ind w:left="187" w:right="567"/>
            <w:rPr>
              <w:rFonts w:ascii="Arial" w:hAnsi="Arial" w:cs="Arial"/>
              <w:sz w:val="20"/>
              <w:szCs w:val="20"/>
              <w:lang w:eastAsia="ja-JP"/>
            </w:rPr>
          </w:pPr>
          <w:r w:rsidRPr="00AC1668">
            <w:rPr>
              <w:rFonts w:ascii="Arial" w:hAnsi="Arial" w:cs="Arial"/>
              <w:sz w:val="20"/>
              <w:szCs w:val="20"/>
              <w:lang w:eastAsia="ja-JP"/>
            </w:rPr>
            <w:t>Revised By</w:t>
          </w:r>
          <w:r>
            <w:rPr>
              <w:rFonts w:ascii="Arial" w:hAnsi="Arial" w:cs="Arial"/>
              <w:sz w:val="20"/>
              <w:szCs w:val="20"/>
              <w:lang w:eastAsia="ja-JP"/>
            </w:rPr>
            <w:t>:</w:t>
          </w:r>
          <w:r>
            <w:rPr>
              <w:rFonts w:ascii="Arial" w:hAnsi="Arial" w:cs="Arial"/>
              <w:sz w:val="20"/>
              <w:szCs w:val="20"/>
              <w:lang w:eastAsia="ja-JP"/>
            </w:rPr>
            <w:tab/>
          </w:r>
          <w:proofErr w:type="spellStart"/>
          <w:r w:rsidRPr="00AC1668">
            <w:rPr>
              <w:rFonts w:ascii="Arial" w:hAnsi="Arial" w:cs="Arial"/>
              <w:sz w:val="20"/>
              <w:szCs w:val="20"/>
              <w:lang w:eastAsia="ja-JP"/>
            </w:rPr>
            <w:t>MDaskis</w:t>
          </w:r>
          <w:proofErr w:type="spellEnd"/>
        </w:p>
        <w:p w14:paraId="6B72AF98" w14:textId="77777777" w:rsidR="00E247A0" w:rsidRPr="00AC1668" w:rsidRDefault="00E247A0" w:rsidP="00E247A0">
          <w:pPr>
            <w:widowControl w:val="0"/>
            <w:tabs>
              <w:tab w:val="left" w:pos="2304"/>
              <w:tab w:val="left" w:pos="2423"/>
            </w:tabs>
            <w:kinsoku w:val="0"/>
            <w:overflowPunct w:val="0"/>
            <w:autoSpaceDE w:val="0"/>
            <w:autoSpaceDN w:val="0"/>
            <w:adjustRightInd w:val="0"/>
            <w:ind w:left="187" w:right="574"/>
            <w:rPr>
              <w:rFonts w:ascii="Arial" w:hAnsi="Arial" w:cs="Arial"/>
              <w:sz w:val="20"/>
              <w:szCs w:val="20"/>
              <w:lang w:eastAsia="ja-JP"/>
            </w:rPr>
          </w:pPr>
          <w:r w:rsidRPr="00AC1668">
            <w:rPr>
              <w:rFonts w:ascii="Arial" w:hAnsi="Arial" w:cs="Arial"/>
              <w:sz w:val="20"/>
              <w:szCs w:val="20"/>
              <w:lang w:eastAsia="ja-JP"/>
            </w:rPr>
            <w:t>Approved By:</w:t>
          </w:r>
          <w:r>
            <w:rPr>
              <w:rFonts w:ascii="Arial" w:hAnsi="Arial" w:cs="Arial"/>
              <w:sz w:val="20"/>
              <w:szCs w:val="20"/>
              <w:lang w:eastAsia="ja-JP"/>
            </w:rPr>
            <w:tab/>
          </w:r>
          <w:proofErr w:type="spellStart"/>
          <w:r w:rsidRPr="00AC1668">
            <w:rPr>
              <w:rFonts w:ascii="Arial" w:hAnsi="Arial" w:cs="Arial"/>
              <w:sz w:val="20"/>
              <w:szCs w:val="20"/>
              <w:lang w:eastAsia="ja-JP"/>
            </w:rPr>
            <w:t>NRoss</w:t>
          </w:r>
          <w:proofErr w:type="spellEnd"/>
        </w:p>
        <w:p w14:paraId="29C75C12" w14:textId="77777777" w:rsidR="00E247A0" w:rsidRPr="00AC1668" w:rsidRDefault="00E247A0" w:rsidP="00E247A0">
          <w:pPr>
            <w:tabs>
              <w:tab w:val="left" w:pos="2304"/>
            </w:tabs>
            <w:suppressAutoHyphens/>
            <w:spacing w:line="100" w:lineRule="atLeast"/>
            <w:ind w:left="187"/>
            <w:rPr>
              <w:sz w:val="20"/>
              <w:lang w:eastAsia="ar-SA"/>
            </w:rPr>
          </w:pPr>
          <w:r w:rsidRPr="00AC1668">
            <w:rPr>
              <w:rFonts w:ascii="Arial" w:hAnsi="Arial" w:cs="Arial"/>
              <w:sz w:val="20"/>
              <w:szCs w:val="20"/>
              <w:lang w:eastAsia="ja-JP"/>
            </w:rPr>
            <w:t>Reason</w:t>
          </w:r>
          <w:r w:rsidRPr="00AC1668">
            <w:rPr>
              <w:rFonts w:ascii="Arial" w:hAnsi="Arial" w:cs="Arial"/>
              <w:spacing w:val="-13"/>
              <w:sz w:val="20"/>
              <w:szCs w:val="20"/>
              <w:lang w:eastAsia="ja-JP"/>
            </w:rPr>
            <w:t xml:space="preserve"> </w:t>
          </w:r>
          <w:r w:rsidRPr="00AC1668">
            <w:rPr>
              <w:rFonts w:ascii="Arial" w:hAnsi="Arial" w:cs="Arial"/>
              <w:sz w:val="20"/>
              <w:szCs w:val="20"/>
              <w:lang w:eastAsia="ja-JP"/>
            </w:rPr>
            <w:t>for</w:t>
          </w:r>
          <w:r w:rsidRPr="00AC1668">
            <w:rPr>
              <w:rFonts w:ascii="Arial" w:hAnsi="Arial" w:cs="Arial"/>
              <w:spacing w:val="-12"/>
              <w:sz w:val="20"/>
              <w:szCs w:val="20"/>
              <w:lang w:eastAsia="ja-JP"/>
            </w:rPr>
            <w:t xml:space="preserve"> </w:t>
          </w:r>
          <w:r w:rsidRPr="00AC1668">
            <w:rPr>
              <w:rFonts w:ascii="Arial" w:hAnsi="Arial" w:cs="Arial"/>
              <w:sz w:val="20"/>
              <w:szCs w:val="20"/>
              <w:lang w:eastAsia="ja-JP"/>
            </w:rPr>
            <w:t>Revision:</w:t>
          </w:r>
          <w:r>
            <w:rPr>
              <w:rFonts w:ascii="Arial" w:hAnsi="Arial" w:cs="Arial"/>
              <w:sz w:val="20"/>
              <w:szCs w:val="20"/>
              <w:lang w:eastAsia="ja-JP"/>
            </w:rPr>
            <w:tab/>
          </w:r>
          <w:r w:rsidRPr="00AC1668">
            <w:rPr>
              <w:rFonts w:ascii="Arial" w:hAnsi="Arial" w:cs="Arial"/>
              <w:sz w:val="20"/>
              <w:szCs w:val="20"/>
              <w:lang w:eastAsia="ja-JP"/>
            </w:rPr>
            <w:t>New</w:t>
          </w:r>
        </w:p>
      </w:tc>
    </w:tr>
  </w:tbl>
  <w:p w14:paraId="07A0BC37" w14:textId="77777777" w:rsidR="00E247A0" w:rsidRDefault="00E247A0" w:rsidP="00E24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548F" w14:textId="77777777" w:rsidR="002A42DA" w:rsidRPr="00A679CF" w:rsidRDefault="002A42DA" w:rsidP="00A679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FD2"/>
    <w:multiLevelType w:val="hybridMultilevel"/>
    <w:tmpl w:val="2C703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FA740E"/>
    <w:multiLevelType w:val="hybridMultilevel"/>
    <w:tmpl w:val="282A2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0768F"/>
    <w:multiLevelType w:val="multilevel"/>
    <w:tmpl w:val="1698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45514"/>
    <w:multiLevelType w:val="hybridMultilevel"/>
    <w:tmpl w:val="511610A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DE4449"/>
    <w:multiLevelType w:val="hybridMultilevel"/>
    <w:tmpl w:val="C374E2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1520F"/>
    <w:multiLevelType w:val="hybridMultilevel"/>
    <w:tmpl w:val="8CDEB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B56C73"/>
    <w:multiLevelType w:val="hybridMultilevel"/>
    <w:tmpl w:val="3E025962"/>
    <w:lvl w:ilvl="0" w:tplc="1009000F">
      <w:start w:val="1"/>
      <w:numFmt w:val="decimal"/>
      <w:lvlText w:val="%1.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7445A2"/>
    <w:multiLevelType w:val="hybridMultilevel"/>
    <w:tmpl w:val="2E524DE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B253FD"/>
    <w:multiLevelType w:val="hybridMultilevel"/>
    <w:tmpl w:val="9C2A5D6C"/>
    <w:lvl w:ilvl="0" w:tplc="0409000F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num w:numId="1" w16cid:durableId="1757558567">
    <w:abstractNumId w:val="5"/>
  </w:num>
  <w:num w:numId="2" w16cid:durableId="638076684">
    <w:abstractNumId w:val="0"/>
  </w:num>
  <w:num w:numId="3" w16cid:durableId="102923904">
    <w:abstractNumId w:val="8"/>
  </w:num>
  <w:num w:numId="4" w16cid:durableId="771124439">
    <w:abstractNumId w:val="1"/>
  </w:num>
  <w:num w:numId="5" w16cid:durableId="614798706">
    <w:abstractNumId w:val="6"/>
  </w:num>
  <w:num w:numId="6" w16cid:durableId="1657176050">
    <w:abstractNumId w:val="7"/>
  </w:num>
  <w:num w:numId="7" w16cid:durableId="820148877">
    <w:abstractNumId w:val="4"/>
  </w:num>
  <w:num w:numId="8" w16cid:durableId="403114">
    <w:abstractNumId w:val="3"/>
  </w:num>
  <w:num w:numId="9" w16cid:durableId="1225263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86"/>
    <w:rsid w:val="00054D22"/>
    <w:rsid w:val="00061D22"/>
    <w:rsid w:val="00081DAA"/>
    <w:rsid w:val="0008289D"/>
    <w:rsid w:val="00097D7A"/>
    <w:rsid w:val="000A3B23"/>
    <w:rsid w:val="000D2077"/>
    <w:rsid w:val="000F6A87"/>
    <w:rsid w:val="00115904"/>
    <w:rsid w:val="00125FF2"/>
    <w:rsid w:val="0013026D"/>
    <w:rsid w:val="001379A6"/>
    <w:rsid w:val="001448DD"/>
    <w:rsid w:val="0016271A"/>
    <w:rsid w:val="00170F4E"/>
    <w:rsid w:val="0019039F"/>
    <w:rsid w:val="00190881"/>
    <w:rsid w:val="001A2783"/>
    <w:rsid w:val="001A4CE5"/>
    <w:rsid w:val="001E62F0"/>
    <w:rsid w:val="001F3BD2"/>
    <w:rsid w:val="002006BD"/>
    <w:rsid w:val="002124C3"/>
    <w:rsid w:val="00216E67"/>
    <w:rsid w:val="00250766"/>
    <w:rsid w:val="0025132B"/>
    <w:rsid w:val="00264AAF"/>
    <w:rsid w:val="00275BC8"/>
    <w:rsid w:val="002A42DA"/>
    <w:rsid w:val="002A5643"/>
    <w:rsid w:val="002C1160"/>
    <w:rsid w:val="002C53B5"/>
    <w:rsid w:val="002D42F2"/>
    <w:rsid w:val="002D6A86"/>
    <w:rsid w:val="002E52F3"/>
    <w:rsid w:val="00304167"/>
    <w:rsid w:val="00304744"/>
    <w:rsid w:val="00323BB1"/>
    <w:rsid w:val="003328DE"/>
    <w:rsid w:val="00343ACB"/>
    <w:rsid w:val="003644F1"/>
    <w:rsid w:val="003663F8"/>
    <w:rsid w:val="00395ECD"/>
    <w:rsid w:val="003A1238"/>
    <w:rsid w:val="003F082D"/>
    <w:rsid w:val="003F7428"/>
    <w:rsid w:val="00475F9C"/>
    <w:rsid w:val="00476CF0"/>
    <w:rsid w:val="004B2119"/>
    <w:rsid w:val="004E0F3D"/>
    <w:rsid w:val="004E2E2D"/>
    <w:rsid w:val="004F4058"/>
    <w:rsid w:val="004F41F6"/>
    <w:rsid w:val="00507356"/>
    <w:rsid w:val="0050752B"/>
    <w:rsid w:val="00510835"/>
    <w:rsid w:val="00512326"/>
    <w:rsid w:val="00544925"/>
    <w:rsid w:val="0055194E"/>
    <w:rsid w:val="00556C89"/>
    <w:rsid w:val="005A59A3"/>
    <w:rsid w:val="005F05E7"/>
    <w:rsid w:val="005F1AAD"/>
    <w:rsid w:val="00602860"/>
    <w:rsid w:val="0061358F"/>
    <w:rsid w:val="0064041E"/>
    <w:rsid w:val="00646435"/>
    <w:rsid w:val="00651D84"/>
    <w:rsid w:val="00674217"/>
    <w:rsid w:val="006A0EA3"/>
    <w:rsid w:val="006E56E1"/>
    <w:rsid w:val="006F017B"/>
    <w:rsid w:val="006F1550"/>
    <w:rsid w:val="00702C5B"/>
    <w:rsid w:val="00721ECC"/>
    <w:rsid w:val="00725995"/>
    <w:rsid w:val="00741EBC"/>
    <w:rsid w:val="00753349"/>
    <w:rsid w:val="0075741A"/>
    <w:rsid w:val="00760B7A"/>
    <w:rsid w:val="007A2C2C"/>
    <w:rsid w:val="007B68E9"/>
    <w:rsid w:val="007D162F"/>
    <w:rsid w:val="007E1B88"/>
    <w:rsid w:val="007F7A4A"/>
    <w:rsid w:val="00805917"/>
    <w:rsid w:val="00811ED0"/>
    <w:rsid w:val="0084635B"/>
    <w:rsid w:val="0086624C"/>
    <w:rsid w:val="0088442F"/>
    <w:rsid w:val="008A336E"/>
    <w:rsid w:val="008B2E40"/>
    <w:rsid w:val="008D3E5A"/>
    <w:rsid w:val="008E20DC"/>
    <w:rsid w:val="008F77B3"/>
    <w:rsid w:val="00910185"/>
    <w:rsid w:val="00932DEA"/>
    <w:rsid w:val="00936396"/>
    <w:rsid w:val="009472D5"/>
    <w:rsid w:val="00955B79"/>
    <w:rsid w:val="00971EB4"/>
    <w:rsid w:val="0097414E"/>
    <w:rsid w:val="00984264"/>
    <w:rsid w:val="009B3F55"/>
    <w:rsid w:val="009C6E17"/>
    <w:rsid w:val="009D0AB7"/>
    <w:rsid w:val="009F5506"/>
    <w:rsid w:val="009F7243"/>
    <w:rsid w:val="00A04C6F"/>
    <w:rsid w:val="00A15649"/>
    <w:rsid w:val="00A61E7D"/>
    <w:rsid w:val="00A645D8"/>
    <w:rsid w:val="00A679CF"/>
    <w:rsid w:val="00A74E03"/>
    <w:rsid w:val="00A76CD6"/>
    <w:rsid w:val="00A86A96"/>
    <w:rsid w:val="00A87A2A"/>
    <w:rsid w:val="00AB286B"/>
    <w:rsid w:val="00AC3C56"/>
    <w:rsid w:val="00AD4206"/>
    <w:rsid w:val="00AF6950"/>
    <w:rsid w:val="00B023B0"/>
    <w:rsid w:val="00B02E8E"/>
    <w:rsid w:val="00B05CE9"/>
    <w:rsid w:val="00B3076D"/>
    <w:rsid w:val="00B35A00"/>
    <w:rsid w:val="00B36E45"/>
    <w:rsid w:val="00B51318"/>
    <w:rsid w:val="00BA19F8"/>
    <w:rsid w:val="00BA3BDF"/>
    <w:rsid w:val="00BA6BF3"/>
    <w:rsid w:val="00BB0918"/>
    <w:rsid w:val="00BC187B"/>
    <w:rsid w:val="00BC54FB"/>
    <w:rsid w:val="00BD38E9"/>
    <w:rsid w:val="00BD50D7"/>
    <w:rsid w:val="00BE2AE4"/>
    <w:rsid w:val="00BE71F5"/>
    <w:rsid w:val="00BF72C2"/>
    <w:rsid w:val="00C05E79"/>
    <w:rsid w:val="00C12BA6"/>
    <w:rsid w:val="00C50219"/>
    <w:rsid w:val="00C56917"/>
    <w:rsid w:val="00C64BC1"/>
    <w:rsid w:val="00C7136C"/>
    <w:rsid w:val="00C91376"/>
    <w:rsid w:val="00CB6213"/>
    <w:rsid w:val="00CD32E8"/>
    <w:rsid w:val="00CF5086"/>
    <w:rsid w:val="00D121B7"/>
    <w:rsid w:val="00D300EA"/>
    <w:rsid w:val="00D43B61"/>
    <w:rsid w:val="00D446B3"/>
    <w:rsid w:val="00D5114A"/>
    <w:rsid w:val="00D76293"/>
    <w:rsid w:val="00D956AA"/>
    <w:rsid w:val="00DB432A"/>
    <w:rsid w:val="00DC3FEB"/>
    <w:rsid w:val="00DD4C4D"/>
    <w:rsid w:val="00DF0350"/>
    <w:rsid w:val="00E036A8"/>
    <w:rsid w:val="00E13086"/>
    <w:rsid w:val="00E24366"/>
    <w:rsid w:val="00E247A0"/>
    <w:rsid w:val="00E36629"/>
    <w:rsid w:val="00E37A9A"/>
    <w:rsid w:val="00E57605"/>
    <w:rsid w:val="00E8546C"/>
    <w:rsid w:val="00E97D05"/>
    <w:rsid w:val="00EA0440"/>
    <w:rsid w:val="00EB0176"/>
    <w:rsid w:val="00ED6D2F"/>
    <w:rsid w:val="00ED6E90"/>
    <w:rsid w:val="00F0026C"/>
    <w:rsid w:val="00F04060"/>
    <w:rsid w:val="00F14311"/>
    <w:rsid w:val="00F3153C"/>
    <w:rsid w:val="00F57E4A"/>
    <w:rsid w:val="00F757D2"/>
    <w:rsid w:val="00F76EA8"/>
    <w:rsid w:val="00FA176C"/>
    <w:rsid w:val="00FB2E99"/>
    <w:rsid w:val="00FC415F"/>
    <w:rsid w:val="00FD29BE"/>
    <w:rsid w:val="00FE218E"/>
    <w:rsid w:val="00FE2493"/>
    <w:rsid w:val="00F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19E6A"/>
  <w15:chartTrackingRefBased/>
  <w15:docId w15:val="{F7396BA9-2A17-401D-AABF-8E267410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A2C2C"/>
    <w:pPr>
      <w:keepNext/>
      <w:spacing w:line="240" w:lineRule="auto"/>
      <w:outlineLvl w:val="0"/>
    </w:pPr>
    <w:rPr>
      <w:rFonts w:ascii="Calibri" w:hAnsi="Calibri" w:cs="Calibri"/>
      <w:b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20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D2077"/>
    <w:rPr>
      <w:sz w:val="24"/>
      <w:szCs w:val="24"/>
    </w:rPr>
  </w:style>
  <w:style w:type="paragraph" w:styleId="Footer">
    <w:name w:val="footer"/>
    <w:basedOn w:val="Normal"/>
    <w:link w:val="FooterChar"/>
    <w:rsid w:val="000D20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D2077"/>
    <w:rPr>
      <w:sz w:val="24"/>
      <w:szCs w:val="24"/>
    </w:rPr>
  </w:style>
  <w:style w:type="paragraph" w:styleId="BodyText2">
    <w:name w:val="Body Text 2"/>
    <w:basedOn w:val="Normal"/>
    <w:link w:val="BodyText2Char"/>
    <w:rsid w:val="000D2077"/>
    <w:pPr>
      <w:spacing w:after="120" w:line="480" w:lineRule="auto"/>
    </w:pPr>
  </w:style>
  <w:style w:type="character" w:customStyle="1" w:styleId="BodyText2Char">
    <w:name w:val="Body Text 2 Char"/>
    <w:link w:val="BodyText2"/>
    <w:rsid w:val="000D2077"/>
    <w:rPr>
      <w:sz w:val="24"/>
      <w:szCs w:val="24"/>
    </w:rPr>
  </w:style>
  <w:style w:type="character" w:styleId="PageNumber">
    <w:name w:val="page number"/>
    <w:basedOn w:val="DefaultParagraphFont"/>
    <w:rsid w:val="000D2077"/>
  </w:style>
  <w:style w:type="paragraph" w:styleId="Revision">
    <w:name w:val="Revision"/>
    <w:hidden/>
    <w:uiPriority w:val="99"/>
    <w:semiHidden/>
    <w:rsid w:val="001379A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E56E1"/>
    <w:pPr>
      <w:ind w:left="720"/>
      <w:contextualSpacing/>
    </w:pPr>
  </w:style>
  <w:style w:type="character" w:styleId="Hyperlink">
    <w:name w:val="Hyperlink"/>
    <w:basedOn w:val="DefaultParagraphFont"/>
    <w:rsid w:val="00811E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E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6E90"/>
    <w:pPr>
      <w:spacing w:before="100" w:beforeAutospacing="1" w:after="100" w:afterAutospacing="1"/>
    </w:pPr>
    <w:rPr>
      <w:lang w:val="en-CA" w:eastAsia="en-CA"/>
    </w:rPr>
  </w:style>
  <w:style w:type="table" w:styleId="TableGrid">
    <w:name w:val="Table Grid"/>
    <w:basedOn w:val="TableNormal"/>
    <w:rsid w:val="00A6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124C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7A2C2C"/>
    <w:rPr>
      <w:rFonts w:ascii="Calibri" w:hAnsi="Calibri" w:cs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51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linkbc.ca/healthlinkbc-files/contact-blood-or-body-fluids-protecting-against-infec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kerpedia.com/food-safety/body-fluid-control-progra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A16A9-6649-4722-86F3-3397B67B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Doc header</vt:lpstr>
    </vt:vector>
  </TitlesOfParts>
  <Company>&lt;arabianhorse&gt;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Doc header</dc:title>
  <dc:subject/>
  <dc:creator>Margaret Daskis</dc:creator>
  <cp:keywords/>
  <dc:description/>
  <cp:lastModifiedBy>Ross Food Consulting</cp:lastModifiedBy>
  <cp:revision>96</cp:revision>
  <cp:lastPrinted>2022-03-20T20:28:00Z</cp:lastPrinted>
  <dcterms:created xsi:type="dcterms:W3CDTF">2022-11-27T21:47:00Z</dcterms:created>
  <dcterms:modified xsi:type="dcterms:W3CDTF">2022-11-27T23:41:00Z</dcterms:modified>
</cp:coreProperties>
</file>