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DBEC0" w14:textId="4A6365B9" w:rsidR="006659CD" w:rsidRDefault="006659CD" w:rsidP="00DD1AD4">
      <w:pPr>
        <w:spacing w:line="360" w:lineRule="auto"/>
        <w:jc w:val="center"/>
        <w:rPr>
          <w:rFonts w:ascii="Arial" w:hAnsi="Arial" w:cs="Arial"/>
          <w:b/>
          <w:bCs/>
          <w:sz w:val="22"/>
          <w:szCs w:val="18"/>
        </w:rPr>
      </w:pPr>
      <w:r w:rsidRPr="006659CD">
        <w:rPr>
          <w:rFonts w:ascii="Arial" w:hAnsi="Arial" w:cs="Arial"/>
          <w:b/>
          <w:bCs/>
          <w:sz w:val="22"/>
          <w:szCs w:val="18"/>
        </w:rPr>
        <w:t>HUB USER GOOD MANUFACTURING PRACTICES</w:t>
      </w:r>
    </w:p>
    <w:p w14:paraId="4B4E5645" w14:textId="2A50CFC1" w:rsidR="006659CD" w:rsidRDefault="006659CD" w:rsidP="00DD1AD4">
      <w:pPr>
        <w:spacing w:line="360" w:lineRule="auto"/>
        <w:jc w:val="center"/>
        <w:rPr>
          <w:rFonts w:ascii="Arial" w:hAnsi="Arial" w:cs="Arial"/>
          <w:b/>
          <w:bCs/>
        </w:rPr>
      </w:pPr>
      <w:r w:rsidRPr="006659CD">
        <w:rPr>
          <w:rFonts w:ascii="Arial" w:hAnsi="Arial" w:cs="Arial"/>
          <w:b/>
          <w:bCs/>
        </w:rPr>
        <w:t>Personal Hygiene &amp; Health Requirements</w:t>
      </w:r>
    </w:p>
    <w:p w14:paraId="00445DFD" w14:textId="2C772DCB" w:rsidR="006659CD" w:rsidRDefault="0073098F" w:rsidP="0073098F">
      <w:pPr>
        <w:pStyle w:val="ListParagraph"/>
        <w:numPr>
          <w:ilvl w:val="0"/>
          <w:numId w:val="2"/>
        </w:numPr>
        <w:spacing w:line="276" w:lineRule="auto"/>
        <w:jc w:val="both"/>
        <w:rPr>
          <w:rFonts w:ascii="Arial" w:hAnsi="Arial" w:cs="Arial"/>
          <w:sz w:val="20"/>
          <w:szCs w:val="16"/>
        </w:rPr>
      </w:pPr>
      <w:r w:rsidRPr="0073098F">
        <w:rPr>
          <w:rFonts w:ascii="Arial" w:hAnsi="Arial" w:cs="Arial"/>
          <w:sz w:val="20"/>
          <w:szCs w:val="16"/>
        </w:rPr>
        <w:t>All food processors must wash their hands before starting work, after handling contaminated materials, breaks or lunch periods, and after using washroom facilities. Where necessary to minimize microbiological contamination, food processors shall use disinfectant (hand dips)</w:t>
      </w:r>
      <w:r>
        <w:rPr>
          <w:rFonts w:ascii="Arial" w:hAnsi="Arial" w:cs="Arial"/>
          <w:sz w:val="20"/>
          <w:szCs w:val="16"/>
        </w:rPr>
        <w:t>.</w:t>
      </w:r>
    </w:p>
    <w:p w14:paraId="732490B8" w14:textId="77777777" w:rsidR="0073098F" w:rsidRPr="0073098F" w:rsidRDefault="0073098F" w:rsidP="0073098F">
      <w:pPr>
        <w:spacing w:line="276" w:lineRule="auto"/>
        <w:jc w:val="both"/>
        <w:rPr>
          <w:rFonts w:ascii="Arial" w:hAnsi="Arial" w:cs="Arial"/>
          <w:sz w:val="20"/>
          <w:szCs w:val="16"/>
        </w:rPr>
      </w:pPr>
    </w:p>
    <w:p w14:paraId="5E98CAC4" w14:textId="2671B0D7" w:rsidR="0073098F" w:rsidRPr="0073098F" w:rsidRDefault="0073098F" w:rsidP="0073098F">
      <w:pPr>
        <w:pStyle w:val="ListParagraph"/>
        <w:numPr>
          <w:ilvl w:val="0"/>
          <w:numId w:val="2"/>
        </w:numPr>
        <w:spacing w:line="276" w:lineRule="auto"/>
        <w:jc w:val="both"/>
        <w:rPr>
          <w:rFonts w:ascii="Arial" w:hAnsi="Arial" w:cs="Arial"/>
          <w:sz w:val="20"/>
          <w:szCs w:val="16"/>
        </w:rPr>
      </w:pPr>
      <w:r w:rsidRPr="0073098F">
        <w:rPr>
          <w:rFonts w:ascii="Arial" w:hAnsi="Arial" w:cs="Arial"/>
          <w:sz w:val="20"/>
          <w:lang w:val="en-GB"/>
        </w:rPr>
        <w:t xml:space="preserve">Employees are required to report for work in clean, sanitary clothing and maintain a high degree of personal cleanliness.  </w:t>
      </w:r>
      <w:r w:rsidR="00DD1AD4" w:rsidRPr="0073098F">
        <w:rPr>
          <w:rFonts w:ascii="Arial" w:hAnsi="Arial" w:cs="Arial"/>
          <w:sz w:val="20"/>
          <w:lang w:val="en-GB"/>
        </w:rPr>
        <w:t xml:space="preserve">Storing clothing or other personal items in the production area </w:t>
      </w:r>
      <w:r w:rsidR="00DD1AD4">
        <w:rPr>
          <w:rFonts w:ascii="Arial" w:hAnsi="Arial" w:cs="Arial"/>
          <w:sz w:val="20"/>
          <w:lang w:val="en-GB"/>
        </w:rPr>
        <w:t>is</w:t>
      </w:r>
      <w:r w:rsidR="00DD1AD4" w:rsidRPr="0073098F">
        <w:rPr>
          <w:rFonts w:ascii="Arial" w:hAnsi="Arial" w:cs="Arial"/>
          <w:sz w:val="20"/>
          <w:lang w:val="en-GB"/>
        </w:rPr>
        <w:t xml:space="preserve"> not permitted</w:t>
      </w:r>
      <w:r w:rsidR="00DD1AD4">
        <w:rPr>
          <w:rFonts w:ascii="Arial" w:hAnsi="Arial" w:cs="Arial"/>
          <w:sz w:val="20"/>
          <w:lang w:val="en-GB"/>
        </w:rPr>
        <w:t xml:space="preserve">. </w:t>
      </w:r>
      <w:r w:rsidRPr="0073098F">
        <w:rPr>
          <w:rFonts w:ascii="Arial" w:hAnsi="Arial" w:cs="Arial"/>
          <w:sz w:val="20"/>
          <w:lang w:val="en-GB"/>
        </w:rPr>
        <w:t>When uniforms</w:t>
      </w:r>
      <w:r w:rsidR="00DD1AD4">
        <w:rPr>
          <w:rFonts w:ascii="Arial" w:hAnsi="Arial" w:cs="Arial"/>
          <w:sz w:val="20"/>
          <w:lang w:val="en-GB"/>
        </w:rPr>
        <w:t xml:space="preserve"> or smocks</w:t>
      </w:r>
      <w:r w:rsidRPr="0073098F">
        <w:rPr>
          <w:rFonts w:ascii="Arial" w:hAnsi="Arial" w:cs="Arial"/>
          <w:sz w:val="20"/>
          <w:lang w:val="en-GB"/>
        </w:rPr>
        <w:t xml:space="preserve"> are supplied, they </w:t>
      </w:r>
      <w:r w:rsidR="00DD1AD4">
        <w:rPr>
          <w:rFonts w:ascii="Arial" w:hAnsi="Arial" w:cs="Arial"/>
          <w:sz w:val="20"/>
          <w:lang w:val="en-GB"/>
        </w:rPr>
        <w:t>must</w:t>
      </w:r>
      <w:r w:rsidRPr="0073098F">
        <w:rPr>
          <w:rFonts w:ascii="Arial" w:hAnsi="Arial" w:cs="Arial"/>
          <w:sz w:val="20"/>
          <w:lang w:val="en-GB"/>
        </w:rPr>
        <w:t xml:space="preserve"> be worn and kept </w:t>
      </w:r>
      <w:r w:rsidR="00DD1AD4">
        <w:rPr>
          <w:rFonts w:ascii="Arial" w:hAnsi="Arial" w:cs="Arial"/>
          <w:sz w:val="20"/>
          <w:lang w:val="en-GB"/>
        </w:rPr>
        <w:t>intact.</w:t>
      </w:r>
      <w:r w:rsidRPr="0073098F">
        <w:rPr>
          <w:rFonts w:ascii="Arial" w:hAnsi="Arial" w:cs="Arial"/>
          <w:sz w:val="20"/>
          <w:lang w:val="en-GB"/>
        </w:rPr>
        <w:t xml:space="preserve">  Uniforms </w:t>
      </w:r>
      <w:r w:rsidR="00DD1AD4">
        <w:rPr>
          <w:rFonts w:ascii="Arial" w:hAnsi="Arial" w:cs="Arial"/>
          <w:sz w:val="20"/>
          <w:lang w:val="en-GB"/>
        </w:rPr>
        <w:t>must be removed when</w:t>
      </w:r>
      <w:r w:rsidRPr="0073098F">
        <w:rPr>
          <w:rFonts w:ascii="Arial" w:hAnsi="Arial" w:cs="Arial"/>
          <w:sz w:val="20"/>
          <w:lang w:val="en-GB"/>
        </w:rPr>
        <w:t xml:space="preserve"> eating food </w:t>
      </w:r>
      <w:r w:rsidR="00DD1AD4">
        <w:rPr>
          <w:rFonts w:ascii="Arial" w:hAnsi="Arial" w:cs="Arial"/>
          <w:sz w:val="20"/>
          <w:lang w:val="en-GB"/>
        </w:rPr>
        <w:t>and</w:t>
      </w:r>
      <w:r w:rsidRPr="0073098F">
        <w:rPr>
          <w:rFonts w:ascii="Arial" w:hAnsi="Arial" w:cs="Arial"/>
          <w:sz w:val="20"/>
          <w:lang w:val="en-GB"/>
        </w:rPr>
        <w:t xml:space="preserve"> during </w:t>
      </w:r>
      <w:r w:rsidR="00DD1AD4">
        <w:rPr>
          <w:rFonts w:ascii="Arial" w:hAnsi="Arial" w:cs="Arial"/>
          <w:sz w:val="20"/>
          <w:lang w:val="en-GB"/>
        </w:rPr>
        <w:t xml:space="preserve">washroom </w:t>
      </w:r>
      <w:r w:rsidRPr="0073098F">
        <w:rPr>
          <w:rFonts w:ascii="Arial" w:hAnsi="Arial" w:cs="Arial"/>
          <w:sz w:val="20"/>
          <w:lang w:val="en-GB"/>
        </w:rPr>
        <w:t>breaks.</w:t>
      </w:r>
    </w:p>
    <w:p w14:paraId="69FCA02F" w14:textId="77777777" w:rsidR="0073098F" w:rsidRPr="0073098F" w:rsidRDefault="0073098F" w:rsidP="0073098F">
      <w:pPr>
        <w:pStyle w:val="ListParagraph"/>
        <w:rPr>
          <w:rFonts w:ascii="Arial" w:hAnsi="Arial" w:cs="Arial"/>
          <w:sz w:val="20"/>
          <w:szCs w:val="16"/>
        </w:rPr>
      </w:pPr>
    </w:p>
    <w:p w14:paraId="73F3C5EA" w14:textId="49E83889" w:rsidR="0073098F" w:rsidRPr="00FF30FA" w:rsidRDefault="00FF30FA" w:rsidP="0073098F">
      <w:pPr>
        <w:pStyle w:val="ListParagraph"/>
        <w:numPr>
          <w:ilvl w:val="0"/>
          <w:numId w:val="2"/>
        </w:numPr>
        <w:spacing w:line="276" w:lineRule="auto"/>
        <w:jc w:val="both"/>
        <w:rPr>
          <w:rFonts w:ascii="Arial" w:hAnsi="Arial" w:cs="Arial"/>
          <w:sz w:val="20"/>
          <w:szCs w:val="16"/>
        </w:rPr>
      </w:pPr>
      <w:r w:rsidRPr="00FF30FA">
        <w:rPr>
          <w:rFonts w:ascii="Arial" w:hAnsi="Arial" w:cs="Arial"/>
          <w:sz w:val="20"/>
          <w:lang w:val="en-GB"/>
        </w:rPr>
        <w:t xml:space="preserve">No sleeveless garments are allowed.  No fuzzy clothing will be permitted in the </w:t>
      </w:r>
      <w:r w:rsidR="00E60C29">
        <w:rPr>
          <w:rFonts w:ascii="Arial" w:hAnsi="Arial" w:cs="Arial"/>
          <w:sz w:val="20"/>
          <w:lang w:val="en-GB"/>
        </w:rPr>
        <w:t>HUB</w:t>
      </w:r>
      <w:r w:rsidR="008271BD">
        <w:rPr>
          <w:rFonts w:ascii="Arial" w:hAnsi="Arial" w:cs="Arial"/>
          <w:sz w:val="20"/>
          <w:lang w:val="en-GB"/>
        </w:rPr>
        <w:t xml:space="preserve"> unless worn under a smock or uniform.</w:t>
      </w:r>
      <w:r w:rsidRPr="00FF30FA">
        <w:rPr>
          <w:rFonts w:ascii="Arial" w:hAnsi="Arial" w:cs="Arial"/>
          <w:sz w:val="20"/>
          <w:lang w:val="en-GB"/>
        </w:rPr>
        <w:t xml:space="preserve">  Open toed shoes, sandals, thongs, clogs and/or moccasins are not allowed in the </w:t>
      </w:r>
      <w:r w:rsidR="00CA0A4C">
        <w:rPr>
          <w:rFonts w:ascii="Arial" w:hAnsi="Arial" w:cs="Arial"/>
          <w:sz w:val="20"/>
          <w:lang w:val="en-GB"/>
        </w:rPr>
        <w:t>HUB</w:t>
      </w:r>
      <w:r w:rsidRPr="00FF30FA">
        <w:rPr>
          <w:rFonts w:ascii="Arial" w:hAnsi="Arial" w:cs="Arial"/>
          <w:sz w:val="20"/>
          <w:lang w:val="en-GB"/>
        </w:rPr>
        <w:t>.  Shirts or blouses shall be buttoned, except for the collar button, and shall cover the waist. Fingernails shall be trimmed and clean. Use of fingernail polish is prohibited unless gloves are worn.</w:t>
      </w:r>
    </w:p>
    <w:p w14:paraId="3B49DDAE" w14:textId="77777777" w:rsidR="00FF30FA" w:rsidRPr="00FF30FA" w:rsidRDefault="00FF30FA" w:rsidP="00FF30FA">
      <w:pPr>
        <w:pStyle w:val="ListParagraph"/>
        <w:rPr>
          <w:rFonts w:ascii="Arial" w:hAnsi="Arial" w:cs="Arial"/>
          <w:sz w:val="20"/>
          <w:szCs w:val="16"/>
        </w:rPr>
      </w:pPr>
    </w:p>
    <w:p w14:paraId="0C0873A9" w14:textId="4CE516DA" w:rsidR="00FF30FA" w:rsidRPr="00FF30FA" w:rsidRDefault="00FF30FA" w:rsidP="0073098F">
      <w:pPr>
        <w:pStyle w:val="ListParagraph"/>
        <w:numPr>
          <w:ilvl w:val="0"/>
          <w:numId w:val="2"/>
        </w:numPr>
        <w:spacing w:line="276" w:lineRule="auto"/>
        <w:jc w:val="both"/>
        <w:rPr>
          <w:rFonts w:ascii="Arial" w:hAnsi="Arial" w:cs="Arial"/>
          <w:sz w:val="20"/>
          <w:szCs w:val="16"/>
        </w:rPr>
      </w:pPr>
      <w:r w:rsidRPr="00FF30FA">
        <w:rPr>
          <w:rFonts w:ascii="Arial" w:hAnsi="Arial" w:cs="Arial"/>
          <w:sz w:val="20"/>
          <w:lang w:val="en-GB"/>
        </w:rPr>
        <w:t>All loose or exposed hair shall be contained by a hair net.  Beards and goatees shall be covered by a beard net.  Ear plugs not secured by a cord shall be covered by a hair net.</w:t>
      </w:r>
    </w:p>
    <w:p w14:paraId="269D0B83" w14:textId="77777777" w:rsidR="00FF30FA" w:rsidRPr="00FF30FA" w:rsidRDefault="00FF30FA" w:rsidP="00FF30FA">
      <w:pPr>
        <w:pStyle w:val="ListParagraph"/>
        <w:rPr>
          <w:rFonts w:ascii="Arial" w:hAnsi="Arial" w:cs="Arial"/>
          <w:sz w:val="20"/>
          <w:szCs w:val="16"/>
        </w:rPr>
      </w:pPr>
    </w:p>
    <w:p w14:paraId="0BAA7D7E" w14:textId="221F9AB8" w:rsidR="00FF30FA" w:rsidRPr="00FF30FA" w:rsidRDefault="00FF30FA" w:rsidP="0073098F">
      <w:pPr>
        <w:pStyle w:val="ListParagraph"/>
        <w:numPr>
          <w:ilvl w:val="0"/>
          <w:numId w:val="2"/>
        </w:numPr>
        <w:spacing w:line="276" w:lineRule="auto"/>
        <w:jc w:val="both"/>
        <w:rPr>
          <w:rFonts w:ascii="Arial" w:hAnsi="Arial" w:cs="Arial"/>
          <w:sz w:val="20"/>
          <w:szCs w:val="16"/>
        </w:rPr>
      </w:pPr>
      <w:r w:rsidRPr="00FF30FA">
        <w:rPr>
          <w:rFonts w:ascii="Arial" w:hAnsi="Arial" w:cs="Arial"/>
          <w:sz w:val="20"/>
          <w:lang w:val="en-GB"/>
        </w:rPr>
        <w:t>Jewellery unless specifically authorized shall not be allowed (wedding bands with no stones or medical alert tags which cannot be removed or jewellery of religious significance may be worn if covered).  Rings of any other sort shall not be allowed.  Hair curlers, bobby pins, combs, ribbons, etc, of any kind shall not be worn in the plant.</w:t>
      </w:r>
    </w:p>
    <w:p w14:paraId="3E5A1BD9" w14:textId="77777777" w:rsidR="00FF30FA" w:rsidRPr="00FF30FA" w:rsidRDefault="00FF30FA" w:rsidP="00FF30FA">
      <w:pPr>
        <w:pStyle w:val="ListParagraph"/>
        <w:rPr>
          <w:rFonts w:ascii="Arial" w:hAnsi="Arial" w:cs="Arial"/>
          <w:sz w:val="20"/>
          <w:szCs w:val="16"/>
        </w:rPr>
      </w:pPr>
    </w:p>
    <w:p w14:paraId="7C009B7E" w14:textId="758BE0DC" w:rsidR="00FF30FA" w:rsidRPr="00FF30FA" w:rsidRDefault="00FF30FA" w:rsidP="0073098F">
      <w:pPr>
        <w:pStyle w:val="ListParagraph"/>
        <w:numPr>
          <w:ilvl w:val="0"/>
          <w:numId w:val="2"/>
        </w:numPr>
        <w:spacing w:line="276" w:lineRule="auto"/>
        <w:jc w:val="both"/>
        <w:rPr>
          <w:rFonts w:ascii="Arial" w:hAnsi="Arial" w:cs="Arial"/>
          <w:sz w:val="20"/>
          <w:szCs w:val="16"/>
        </w:rPr>
      </w:pPr>
      <w:r w:rsidRPr="00FF30FA">
        <w:rPr>
          <w:rFonts w:ascii="Arial" w:hAnsi="Arial" w:cs="Arial"/>
          <w:sz w:val="20"/>
          <w:lang w:val="en-GB"/>
        </w:rPr>
        <w:t>Any behaviour that could result in contamination of food, such as eating or drinking, use of tobacco, chewing gum or candy, shall be prohibited in food handling areas.  Any unhygienic practices such as spitting shall not be tolerated.  All eating in the plant is to be confined to the lunchrooms.  Sampling of product as part of a job assignment shall be done within the confines of authorized areas.</w:t>
      </w:r>
    </w:p>
    <w:p w14:paraId="7BDEBFEB" w14:textId="77777777" w:rsidR="00FF30FA" w:rsidRPr="00FF30FA" w:rsidRDefault="00FF30FA" w:rsidP="00FF30FA">
      <w:pPr>
        <w:pStyle w:val="ListParagraph"/>
        <w:rPr>
          <w:rFonts w:ascii="Arial" w:hAnsi="Arial" w:cs="Arial"/>
          <w:sz w:val="20"/>
          <w:szCs w:val="16"/>
        </w:rPr>
      </w:pPr>
    </w:p>
    <w:p w14:paraId="123E520F" w14:textId="47EFDA4A" w:rsidR="00FF30FA" w:rsidRDefault="00FF30FA" w:rsidP="0073098F">
      <w:pPr>
        <w:pStyle w:val="ListParagraph"/>
        <w:numPr>
          <w:ilvl w:val="0"/>
          <w:numId w:val="2"/>
        </w:numPr>
        <w:spacing w:line="276" w:lineRule="auto"/>
        <w:jc w:val="both"/>
        <w:rPr>
          <w:rFonts w:ascii="Arial" w:hAnsi="Arial" w:cs="Arial"/>
          <w:sz w:val="20"/>
          <w:szCs w:val="16"/>
        </w:rPr>
      </w:pPr>
      <w:r>
        <w:rPr>
          <w:rFonts w:ascii="Arial" w:hAnsi="Arial" w:cs="Arial"/>
          <w:sz w:val="20"/>
          <w:szCs w:val="16"/>
        </w:rPr>
        <w:t>All glass and brittle plastic containers are prohibited in food handling areas. Pens, tools, earplugs, cigarettes, etc. shall not be carried in the upper shirt pockets.</w:t>
      </w:r>
    </w:p>
    <w:p w14:paraId="3717D55C" w14:textId="77777777" w:rsidR="00FF30FA" w:rsidRPr="00FF30FA" w:rsidRDefault="00FF30FA" w:rsidP="00FF30FA">
      <w:pPr>
        <w:pStyle w:val="ListParagraph"/>
        <w:rPr>
          <w:rFonts w:ascii="Arial" w:hAnsi="Arial" w:cs="Arial"/>
          <w:sz w:val="20"/>
          <w:szCs w:val="16"/>
        </w:rPr>
      </w:pPr>
    </w:p>
    <w:p w14:paraId="57962BB6" w14:textId="0E1D7818" w:rsidR="00FF30FA" w:rsidRPr="00FF30FA" w:rsidRDefault="00FF30FA" w:rsidP="0073098F">
      <w:pPr>
        <w:pStyle w:val="ListParagraph"/>
        <w:numPr>
          <w:ilvl w:val="0"/>
          <w:numId w:val="2"/>
        </w:numPr>
        <w:spacing w:line="276" w:lineRule="auto"/>
        <w:jc w:val="both"/>
        <w:rPr>
          <w:rFonts w:ascii="Arial" w:hAnsi="Arial" w:cs="Arial"/>
          <w:sz w:val="20"/>
          <w:szCs w:val="16"/>
        </w:rPr>
      </w:pPr>
      <w:r w:rsidRPr="00FF30FA">
        <w:rPr>
          <w:rFonts w:ascii="Arial" w:hAnsi="Arial" w:cs="Arial"/>
          <w:sz w:val="20"/>
          <w:lang w:val="en-GB"/>
        </w:rPr>
        <w:t xml:space="preserve">Food processors must be in a healthy condition when they report to work.  All </w:t>
      </w:r>
      <w:r w:rsidR="00125A69">
        <w:rPr>
          <w:rFonts w:ascii="Arial" w:hAnsi="Arial" w:cs="Arial"/>
          <w:sz w:val="20"/>
          <w:lang w:val="en-GB"/>
        </w:rPr>
        <w:t xml:space="preserve">HUB </w:t>
      </w:r>
      <w:r w:rsidRPr="00FF30FA">
        <w:rPr>
          <w:rFonts w:ascii="Arial" w:hAnsi="Arial" w:cs="Arial"/>
          <w:sz w:val="20"/>
          <w:lang w:val="en-GB"/>
        </w:rPr>
        <w:t>Users must inform Hub Manager of any employee suffering from, or known to be carriers of a disease transferable through food.  Employees with sores or boils on hands, arms or face must be cleared by their supervisor before being permitted to work.  Cuts or abrasions must be report</w:t>
      </w:r>
      <w:r w:rsidR="00961071">
        <w:rPr>
          <w:rFonts w:ascii="Arial" w:hAnsi="Arial" w:cs="Arial"/>
          <w:sz w:val="20"/>
          <w:lang w:val="en-GB"/>
        </w:rPr>
        <w:t>ed</w:t>
      </w:r>
      <w:r w:rsidRPr="00FF30FA">
        <w:rPr>
          <w:rFonts w:ascii="Arial" w:hAnsi="Arial" w:cs="Arial"/>
          <w:sz w:val="20"/>
          <w:lang w:val="en-GB"/>
        </w:rPr>
        <w:t xml:space="preserve"> to first aid, and must be covered with a secure waterproof covering (glove).</w:t>
      </w:r>
    </w:p>
    <w:p w14:paraId="137E0B4A" w14:textId="77777777" w:rsidR="00FF30FA" w:rsidRPr="00FF30FA" w:rsidRDefault="00FF30FA" w:rsidP="00FF30FA">
      <w:pPr>
        <w:pStyle w:val="ListParagraph"/>
        <w:rPr>
          <w:rFonts w:ascii="Arial" w:hAnsi="Arial" w:cs="Arial"/>
          <w:sz w:val="20"/>
          <w:szCs w:val="16"/>
        </w:rPr>
      </w:pPr>
    </w:p>
    <w:p w14:paraId="0B8BF68C" w14:textId="77FF281D" w:rsidR="00FF30FA" w:rsidRPr="00F22C8C" w:rsidRDefault="00F22C8C" w:rsidP="0073098F">
      <w:pPr>
        <w:pStyle w:val="ListParagraph"/>
        <w:numPr>
          <w:ilvl w:val="0"/>
          <w:numId w:val="2"/>
        </w:numPr>
        <w:spacing w:line="276" w:lineRule="auto"/>
        <w:jc w:val="both"/>
        <w:rPr>
          <w:rFonts w:ascii="Arial" w:hAnsi="Arial" w:cs="Arial"/>
          <w:sz w:val="20"/>
          <w:szCs w:val="16"/>
        </w:rPr>
      </w:pPr>
      <w:r>
        <w:rPr>
          <w:rFonts w:ascii="Arial" w:hAnsi="Arial" w:cs="Arial"/>
          <w:sz w:val="20"/>
          <w:szCs w:val="16"/>
          <w:lang w:val="en-GB"/>
        </w:rPr>
        <w:t>Visitors are to report to office and must be accompanies by authorized personnel in order to prevent cross-contamination to the product.</w:t>
      </w:r>
    </w:p>
    <w:p w14:paraId="211ACCB3" w14:textId="09DA91C6" w:rsidR="00F22C8C" w:rsidRDefault="00F22C8C" w:rsidP="00F22C8C">
      <w:pPr>
        <w:spacing w:line="276" w:lineRule="auto"/>
        <w:jc w:val="both"/>
        <w:rPr>
          <w:rFonts w:ascii="Arial" w:hAnsi="Arial" w:cs="Arial"/>
          <w:sz w:val="20"/>
          <w:szCs w:val="16"/>
        </w:rPr>
      </w:pPr>
    </w:p>
    <w:p w14:paraId="21170E22" w14:textId="2F54EA32" w:rsidR="00F22C8C" w:rsidRDefault="00F22C8C" w:rsidP="00F22C8C">
      <w:pPr>
        <w:spacing w:line="276" w:lineRule="auto"/>
        <w:ind w:left="360"/>
        <w:rPr>
          <w:rFonts w:ascii="Arial" w:hAnsi="Arial" w:cs="Arial"/>
          <w:b/>
          <w:bCs/>
          <w:i/>
          <w:iCs/>
          <w:sz w:val="20"/>
          <w:szCs w:val="16"/>
        </w:rPr>
      </w:pPr>
      <w:r w:rsidRPr="00F22C8C">
        <w:rPr>
          <w:rFonts w:ascii="Arial" w:hAnsi="Arial" w:cs="Arial"/>
          <w:b/>
          <w:bCs/>
          <w:i/>
          <w:iCs/>
          <w:sz w:val="20"/>
          <w:szCs w:val="16"/>
        </w:rPr>
        <w:t xml:space="preserve">I will follow these Personal Hygiene and Health Requirements as required by the Food Hub. Failure to do so may results in </w:t>
      </w:r>
      <w:r>
        <w:rPr>
          <w:rFonts w:ascii="Arial" w:hAnsi="Arial" w:cs="Arial"/>
          <w:b/>
          <w:bCs/>
          <w:i/>
          <w:iCs/>
          <w:sz w:val="20"/>
          <w:szCs w:val="16"/>
        </w:rPr>
        <w:t>removal</w:t>
      </w:r>
      <w:r w:rsidRPr="00F22C8C">
        <w:rPr>
          <w:rFonts w:ascii="Arial" w:hAnsi="Arial" w:cs="Arial"/>
          <w:b/>
          <w:bCs/>
          <w:i/>
          <w:iCs/>
          <w:sz w:val="20"/>
          <w:szCs w:val="16"/>
        </w:rPr>
        <w:t xml:space="preserve"> from the Food Hub.</w:t>
      </w:r>
    </w:p>
    <w:p w14:paraId="67A93ECD" w14:textId="7CFCEBEB" w:rsidR="00F22C8C" w:rsidRDefault="00DD1AD4" w:rsidP="00F22C8C">
      <w:pPr>
        <w:spacing w:line="276" w:lineRule="auto"/>
        <w:ind w:left="360"/>
        <w:rPr>
          <w:rFonts w:ascii="Arial" w:hAnsi="Arial" w:cs="Arial"/>
          <w:b/>
          <w:bCs/>
          <w:i/>
          <w:iCs/>
          <w:sz w:val="20"/>
          <w:szCs w:val="16"/>
        </w:rPr>
      </w:pPr>
      <w:r>
        <w:rPr>
          <w:rFonts w:ascii="Arial" w:hAnsi="Arial" w:cs="Arial"/>
          <w:b/>
          <w:bCs/>
          <w:i/>
          <w:iCs/>
          <w:sz w:val="20"/>
          <w:szCs w:val="16"/>
        </w:rPr>
        <w:tab/>
      </w:r>
    </w:p>
    <w:p w14:paraId="6C026CA5" w14:textId="53D6234E" w:rsidR="00F22C8C" w:rsidRDefault="00DD1AD4" w:rsidP="00F22C8C">
      <w:pPr>
        <w:spacing w:line="276" w:lineRule="auto"/>
        <w:ind w:left="360"/>
        <w:rPr>
          <w:rFonts w:ascii="Arial" w:hAnsi="Arial" w:cs="Arial"/>
          <w:b/>
          <w:bCs/>
          <w:sz w:val="20"/>
          <w:szCs w:val="16"/>
        </w:rPr>
      </w:pPr>
      <w:r>
        <w:rPr>
          <w:rFonts w:ascii="Arial" w:hAnsi="Arial" w:cs="Arial"/>
          <w:b/>
          <w:bCs/>
          <w:sz w:val="20"/>
          <w:szCs w:val="16"/>
        </w:rPr>
        <w:t xml:space="preserve">PRINT NAME: </w:t>
      </w:r>
      <w:r>
        <w:rPr>
          <w:rFonts w:ascii="Arial" w:hAnsi="Arial" w:cs="Arial"/>
          <w:b/>
          <w:bCs/>
          <w:sz w:val="20"/>
          <w:szCs w:val="16"/>
          <w:u w:val="single"/>
        </w:rPr>
        <w:tab/>
      </w:r>
      <w:r>
        <w:rPr>
          <w:rFonts w:ascii="Arial" w:hAnsi="Arial" w:cs="Arial"/>
          <w:b/>
          <w:bCs/>
          <w:sz w:val="20"/>
          <w:szCs w:val="16"/>
          <w:u w:val="single"/>
        </w:rPr>
        <w:tab/>
      </w:r>
      <w:r>
        <w:rPr>
          <w:rFonts w:ascii="Arial" w:hAnsi="Arial" w:cs="Arial"/>
          <w:b/>
          <w:bCs/>
          <w:sz w:val="20"/>
          <w:szCs w:val="16"/>
          <w:u w:val="single"/>
        </w:rPr>
        <w:tab/>
      </w:r>
      <w:r>
        <w:rPr>
          <w:rFonts w:ascii="Arial" w:hAnsi="Arial" w:cs="Arial"/>
          <w:b/>
          <w:bCs/>
          <w:sz w:val="20"/>
          <w:szCs w:val="16"/>
          <w:u w:val="single"/>
        </w:rPr>
        <w:tab/>
      </w:r>
      <w:r w:rsidR="00F22C8C">
        <w:rPr>
          <w:rFonts w:ascii="Arial" w:hAnsi="Arial" w:cs="Arial"/>
          <w:b/>
          <w:bCs/>
          <w:sz w:val="20"/>
          <w:szCs w:val="16"/>
        </w:rPr>
        <w:tab/>
      </w:r>
      <w:r>
        <w:rPr>
          <w:rFonts w:ascii="Arial" w:hAnsi="Arial" w:cs="Arial"/>
          <w:b/>
          <w:bCs/>
          <w:sz w:val="20"/>
          <w:szCs w:val="16"/>
        </w:rPr>
        <w:t>Signature</w:t>
      </w:r>
      <w:r w:rsidR="00F22C8C">
        <w:rPr>
          <w:rFonts w:ascii="Arial" w:hAnsi="Arial" w:cs="Arial"/>
          <w:b/>
          <w:bCs/>
          <w:sz w:val="20"/>
          <w:szCs w:val="16"/>
        </w:rPr>
        <w:t xml:space="preserve">: </w:t>
      </w:r>
      <w:r w:rsidR="00F22C8C">
        <w:rPr>
          <w:rFonts w:ascii="Arial" w:hAnsi="Arial" w:cs="Arial"/>
          <w:b/>
          <w:bCs/>
          <w:sz w:val="20"/>
          <w:szCs w:val="16"/>
          <w:u w:val="single"/>
        </w:rPr>
        <w:tab/>
      </w:r>
      <w:r w:rsidR="00F22C8C">
        <w:rPr>
          <w:rFonts w:ascii="Arial" w:hAnsi="Arial" w:cs="Arial"/>
          <w:b/>
          <w:bCs/>
          <w:sz w:val="20"/>
          <w:szCs w:val="16"/>
          <w:u w:val="single"/>
        </w:rPr>
        <w:tab/>
      </w:r>
      <w:r w:rsidR="00F22C8C">
        <w:rPr>
          <w:rFonts w:ascii="Arial" w:hAnsi="Arial" w:cs="Arial"/>
          <w:b/>
          <w:bCs/>
          <w:sz w:val="20"/>
          <w:szCs w:val="16"/>
          <w:u w:val="single"/>
        </w:rPr>
        <w:tab/>
      </w:r>
      <w:r w:rsidR="00F22C8C">
        <w:rPr>
          <w:rFonts w:ascii="Arial" w:hAnsi="Arial" w:cs="Arial"/>
          <w:b/>
          <w:bCs/>
          <w:sz w:val="20"/>
          <w:szCs w:val="16"/>
          <w:u w:val="single"/>
        </w:rPr>
        <w:tab/>
        <w:t xml:space="preserve">  </w:t>
      </w:r>
      <w:r w:rsidR="00F22C8C">
        <w:rPr>
          <w:rFonts w:ascii="Arial" w:hAnsi="Arial" w:cs="Arial"/>
          <w:b/>
          <w:bCs/>
          <w:sz w:val="20"/>
          <w:szCs w:val="16"/>
        </w:rPr>
        <w:t xml:space="preserve">   </w:t>
      </w:r>
    </w:p>
    <w:p w14:paraId="3C33E4B4" w14:textId="77777777" w:rsidR="00F22C8C" w:rsidRDefault="00F22C8C" w:rsidP="00F22C8C">
      <w:pPr>
        <w:spacing w:line="276" w:lineRule="auto"/>
        <w:ind w:left="360"/>
        <w:rPr>
          <w:rFonts w:ascii="Arial" w:hAnsi="Arial" w:cs="Arial"/>
          <w:b/>
          <w:bCs/>
          <w:sz w:val="20"/>
          <w:szCs w:val="16"/>
        </w:rPr>
      </w:pPr>
    </w:p>
    <w:p w14:paraId="18599781" w14:textId="2D17C44D" w:rsidR="00F22C8C" w:rsidRPr="00DD1AD4" w:rsidRDefault="00DD1AD4" w:rsidP="00F22C8C">
      <w:pPr>
        <w:spacing w:line="276" w:lineRule="auto"/>
        <w:ind w:left="360"/>
        <w:rPr>
          <w:rFonts w:ascii="Arial" w:hAnsi="Arial" w:cs="Arial"/>
          <w:b/>
          <w:bCs/>
          <w:sz w:val="20"/>
          <w:szCs w:val="16"/>
          <w:u w:val="single"/>
        </w:rPr>
      </w:pPr>
      <w:r>
        <w:rPr>
          <w:rFonts w:ascii="Arial" w:hAnsi="Arial" w:cs="Arial"/>
          <w:b/>
          <w:bCs/>
          <w:sz w:val="20"/>
          <w:szCs w:val="16"/>
        </w:rPr>
        <w:t xml:space="preserve">Date: </w:t>
      </w:r>
      <w:r>
        <w:rPr>
          <w:rFonts w:ascii="Arial" w:hAnsi="Arial" w:cs="Arial"/>
          <w:b/>
          <w:bCs/>
          <w:sz w:val="20"/>
          <w:szCs w:val="16"/>
          <w:u w:val="single"/>
        </w:rPr>
        <w:tab/>
      </w:r>
      <w:r>
        <w:rPr>
          <w:rFonts w:ascii="Arial" w:hAnsi="Arial" w:cs="Arial"/>
          <w:b/>
          <w:bCs/>
          <w:sz w:val="20"/>
          <w:szCs w:val="16"/>
          <w:u w:val="single"/>
        </w:rPr>
        <w:tab/>
      </w:r>
      <w:r>
        <w:rPr>
          <w:rFonts w:ascii="Arial" w:hAnsi="Arial" w:cs="Arial"/>
          <w:b/>
          <w:bCs/>
          <w:sz w:val="20"/>
          <w:szCs w:val="16"/>
          <w:u w:val="single"/>
        </w:rPr>
        <w:tab/>
      </w:r>
      <w:r>
        <w:rPr>
          <w:rFonts w:ascii="Arial" w:hAnsi="Arial" w:cs="Arial"/>
          <w:b/>
          <w:bCs/>
          <w:sz w:val="20"/>
          <w:szCs w:val="16"/>
        </w:rPr>
        <w:tab/>
        <w:t xml:space="preserve">Witnessed By: </w:t>
      </w:r>
      <w:r>
        <w:rPr>
          <w:rFonts w:ascii="Arial" w:hAnsi="Arial" w:cs="Arial"/>
          <w:b/>
          <w:bCs/>
          <w:sz w:val="20"/>
          <w:szCs w:val="16"/>
          <w:u w:val="single"/>
        </w:rPr>
        <w:tab/>
      </w:r>
      <w:r>
        <w:rPr>
          <w:rFonts w:ascii="Arial" w:hAnsi="Arial" w:cs="Arial"/>
          <w:b/>
          <w:bCs/>
          <w:sz w:val="20"/>
          <w:szCs w:val="16"/>
          <w:u w:val="single"/>
        </w:rPr>
        <w:tab/>
      </w:r>
      <w:r>
        <w:rPr>
          <w:rFonts w:ascii="Arial" w:hAnsi="Arial" w:cs="Arial"/>
          <w:b/>
          <w:bCs/>
          <w:sz w:val="20"/>
          <w:szCs w:val="16"/>
          <w:u w:val="single"/>
        </w:rPr>
        <w:tab/>
      </w:r>
      <w:r>
        <w:rPr>
          <w:rFonts w:ascii="Arial" w:hAnsi="Arial" w:cs="Arial"/>
          <w:b/>
          <w:bCs/>
          <w:sz w:val="20"/>
          <w:szCs w:val="16"/>
          <w:u w:val="single"/>
        </w:rPr>
        <w:tab/>
      </w:r>
      <w:r>
        <w:rPr>
          <w:rFonts w:ascii="Arial" w:hAnsi="Arial" w:cs="Arial"/>
          <w:b/>
          <w:bCs/>
          <w:sz w:val="20"/>
          <w:szCs w:val="16"/>
          <w:u w:val="single"/>
        </w:rPr>
        <w:tab/>
      </w:r>
      <w:r>
        <w:rPr>
          <w:rFonts w:ascii="Arial" w:hAnsi="Arial" w:cs="Arial"/>
          <w:b/>
          <w:bCs/>
          <w:sz w:val="20"/>
          <w:szCs w:val="16"/>
          <w:u w:val="single"/>
        </w:rPr>
        <w:tab/>
      </w:r>
    </w:p>
    <w:sectPr w:rsidR="00F22C8C" w:rsidRPr="00DD1AD4" w:rsidSect="004407C2">
      <w:headerReference w:type="default" r:id="rId7"/>
      <w:type w:val="continuous"/>
      <w:pgSz w:w="12240" w:h="15840"/>
      <w:pgMar w:top="1080" w:right="1152" w:bottom="288"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C76A2" w14:textId="77777777" w:rsidR="005D478D" w:rsidRDefault="005D478D">
      <w:r>
        <w:separator/>
      </w:r>
    </w:p>
  </w:endnote>
  <w:endnote w:type="continuationSeparator" w:id="0">
    <w:p w14:paraId="328648F7" w14:textId="77777777" w:rsidR="005D478D" w:rsidRDefault="005D4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2DEF6" w14:textId="77777777" w:rsidR="005D478D" w:rsidRDefault="005D478D">
      <w:r>
        <w:separator/>
      </w:r>
    </w:p>
  </w:footnote>
  <w:footnote w:type="continuationSeparator" w:id="0">
    <w:p w14:paraId="02A65E3D" w14:textId="77777777" w:rsidR="005D478D" w:rsidRDefault="005D4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5"/>
      <w:gridCol w:w="5043"/>
    </w:tblGrid>
    <w:tr w:rsidR="00D15936" w:rsidRPr="00AC1668" w14:paraId="7EF8BA98" w14:textId="77777777" w:rsidTr="00B97038">
      <w:trPr>
        <w:trHeight w:val="890"/>
        <w:jc w:val="center"/>
      </w:trPr>
      <w:tc>
        <w:tcPr>
          <w:tcW w:w="4758" w:type="dxa"/>
          <w:vAlign w:val="center"/>
        </w:tcPr>
        <w:p w14:paraId="4D1AE778" w14:textId="77777777" w:rsidR="00D15936" w:rsidRPr="00AC1668" w:rsidRDefault="00D15936" w:rsidP="00D15936">
          <w:pPr>
            <w:suppressAutoHyphens/>
            <w:spacing w:line="100" w:lineRule="atLeast"/>
            <w:ind w:left="173"/>
            <w:rPr>
              <w:b/>
              <w:color w:val="000000"/>
              <w:sz w:val="14"/>
              <w:szCs w:val="12"/>
              <w:lang w:eastAsia="ar-SA"/>
            </w:rPr>
          </w:pPr>
          <w:r>
            <w:rPr>
              <w:b/>
              <w:noProof/>
              <w:color w:val="000000"/>
              <w:sz w:val="28"/>
              <w:lang w:eastAsia="ar-SA"/>
            </w:rPr>
            <w:drawing>
              <wp:inline distT="0" distB="0" distL="0" distR="0" wp14:anchorId="5499885A" wp14:editId="2110C1C2">
                <wp:extent cx="1356360" cy="4953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360" cy="495300"/>
                        </a:xfrm>
                        <a:prstGeom prst="rect">
                          <a:avLst/>
                        </a:prstGeom>
                        <a:noFill/>
                        <a:ln>
                          <a:noFill/>
                        </a:ln>
                      </pic:spPr>
                    </pic:pic>
                  </a:graphicData>
                </a:graphic>
              </wp:inline>
            </w:drawing>
          </w:r>
        </w:p>
      </w:tc>
      <w:tc>
        <w:tcPr>
          <w:tcW w:w="5204" w:type="dxa"/>
          <w:vAlign w:val="center"/>
        </w:tcPr>
        <w:p w14:paraId="1C2EB665" w14:textId="78821EE7" w:rsidR="00D15936" w:rsidRPr="00AC1668" w:rsidRDefault="00D15936" w:rsidP="00D15936">
          <w:pPr>
            <w:widowControl w:val="0"/>
            <w:tabs>
              <w:tab w:val="left" w:pos="2304"/>
            </w:tabs>
            <w:kinsoku w:val="0"/>
            <w:overflowPunct w:val="0"/>
            <w:autoSpaceDE w:val="0"/>
            <w:autoSpaceDN w:val="0"/>
            <w:adjustRightInd w:val="0"/>
            <w:spacing w:line="276" w:lineRule="auto"/>
            <w:ind w:left="176" w:right="282"/>
            <w:rPr>
              <w:rFonts w:ascii="Arial" w:hAnsi="Arial" w:cs="Arial"/>
              <w:spacing w:val="-2"/>
              <w:sz w:val="20"/>
              <w:lang w:val="it-IT" w:eastAsia="ja-JP"/>
            </w:rPr>
          </w:pPr>
          <w:r w:rsidRPr="00AC1668">
            <w:rPr>
              <w:rFonts w:ascii="Arial" w:hAnsi="Arial" w:cs="Arial"/>
              <w:sz w:val="20"/>
              <w:lang w:val="it-IT" w:eastAsia="ja-JP"/>
            </w:rPr>
            <w:t>Document</w:t>
          </w:r>
          <w:r w:rsidRPr="00AC1668">
            <w:rPr>
              <w:rFonts w:ascii="Arial" w:hAnsi="Arial" w:cs="Arial"/>
              <w:spacing w:val="-6"/>
              <w:sz w:val="20"/>
              <w:lang w:val="it-IT" w:eastAsia="ja-JP"/>
            </w:rPr>
            <w:t xml:space="preserve"> </w:t>
          </w:r>
          <w:r w:rsidRPr="00AC1668">
            <w:rPr>
              <w:rFonts w:ascii="Arial" w:hAnsi="Arial" w:cs="Arial"/>
              <w:spacing w:val="-5"/>
              <w:sz w:val="20"/>
              <w:lang w:val="it-IT" w:eastAsia="ja-JP"/>
            </w:rPr>
            <w:t>No:</w:t>
          </w:r>
          <w:r>
            <w:rPr>
              <w:rFonts w:ascii="Arial" w:hAnsi="Arial" w:cs="Arial"/>
              <w:spacing w:val="-5"/>
              <w:sz w:val="20"/>
              <w:lang w:val="it-IT" w:eastAsia="ja-JP"/>
            </w:rPr>
            <w:tab/>
          </w:r>
          <w:r>
            <w:rPr>
              <w:rFonts w:ascii="Arial" w:hAnsi="Arial" w:cs="Arial"/>
              <w:spacing w:val="-2"/>
              <w:sz w:val="20"/>
              <w:lang w:val="it-IT" w:eastAsia="ja-JP"/>
            </w:rPr>
            <w:t>HUB</w:t>
          </w:r>
          <w:r w:rsidRPr="00AC1668">
            <w:rPr>
              <w:rFonts w:ascii="Arial" w:hAnsi="Arial" w:cs="Arial"/>
              <w:spacing w:val="-2"/>
              <w:sz w:val="20"/>
              <w:lang w:val="it-IT" w:eastAsia="ja-JP"/>
            </w:rPr>
            <w:t>.PT.</w:t>
          </w:r>
          <w:r w:rsidR="009F274F">
            <w:rPr>
              <w:rFonts w:ascii="Arial" w:hAnsi="Arial" w:cs="Arial"/>
              <w:spacing w:val="-2"/>
              <w:sz w:val="20"/>
              <w:lang w:val="it-IT" w:eastAsia="ja-JP"/>
            </w:rPr>
            <w:t>REC</w:t>
          </w:r>
          <w:r>
            <w:rPr>
              <w:rFonts w:ascii="Arial" w:hAnsi="Arial" w:cs="Arial"/>
              <w:spacing w:val="-2"/>
              <w:sz w:val="20"/>
              <w:lang w:val="it-IT" w:eastAsia="ja-JP"/>
            </w:rPr>
            <w:t>.</w:t>
          </w:r>
          <w:r>
            <w:rPr>
              <w:rFonts w:ascii="Arial" w:hAnsi="Arial" w:cs="Arial"/>
              <w:spacing w:val="-2"/>
              <w:sz w:val="20"/>
              <w:lang w:val="it-IT" w:eastAsia="ja-JP"/>
            </w:rPr>
            <w:t>39</w:t>
          </w:r>
        </w:p>
        <w:p w14:paraId="47180553" w14:textId="77777777" w:rsidR="00D15936" w:rsidRPr="00AC1668" w:rsidRDefault="00D15936" w:rsidP="00D15936">
          <w:pPr>
            <w:widowControl w:val="0"/>
            <w:tabs>
              <w:tab w:val="left" w:pos="2304"/>
            </w:tabs>
            <w:kinsoku w:val="0"/>
            <w:overflowPunct w:val="0"/>
            <w:autoSpaceDE w:val="0"/>
            <w:autoSpaceDN w:val="0"/>
            <w:adjustRightInd w:val="0"/>
            <w:spacing w:line="276" w:lineRule="auto"/>
            <w:ind w:left="176" w:right="282"/>
            <w:rPr>
              <w:rFonts w:ascii="Arial" w:hAnsi="Arial" w:cs="Arial"/>
              <w:spacing w:val="-2"/>
              <w:sz w:val="20"/>
              <w:lang w:eastAsia="ja-JP"/>
            </w:rPr>
          </w:pPr>
          <w:r w:rsidRPr="00AC1668">
            <w:rPr>
              <w:rFonts w:ascii="Arial" w:hAnsi="Arial" w:cs="Arial"/>
              <w:sz w:val="20"/>
              <w:lang w:eastAsia="ja-JP"/>
            </w:rPr>
            <w:t>Effective Date:</w:t>
          </w:r>
          <w:r>
            <w:rPr>
              <w:rFonts w:ascii="Arial" w:hAnsi="Arial" w:cs="Arial"/>
              <w:sz w:val="20"/>
              <w:lang w:eastAsia="ja-JP"/>
            </w:rPr>
            <w:tab/>
          </w:r>
          <w:r w:rsidRPr="00AC1668">
            <w:rPr>
              <w:rFonts w:ascii="Arial" w:hAnsi="Arial" w:cs="Arial"/>
              <w:spacing w:val="-2"/>
              <w:sz w:val="20"/>
              <w:lang w:eastAsia="ja-JP"/>
            </w:rPr>
            <w:t>01-Jun-22</w:t>
          </w:r>
        </w:p>
        <w:p w14:paraId="7F9129AC" w14:textId="77777777" w:rsidR="00D15936" w:rsidRPr="00AC1668" w:rsidRDefault="00D15936" w:rsidP="00D15936">
          <w:pPr>
            <w:tabs>
              <w:tab w:val="left" w:pos="2304"/>
            </w:tabs>
            <w:suppressAutoHyphens/>
            <w:spacing w:line="100" w:lineRule="atLeast"/>
            <w:ind w:left="183"/>
            <w:rPr>
              <w:sz w:val="20"/>
              <w:lang w:eastAsia="ar-SA"/>
            </w:rPr>
          </w:pPr>
          <w:r w:rsidRPr="00AC1668">
            <w:rPr>
              <w:rFonts w:ascii="Arial" w:hAnsi="Arial" w:cs="Arial"/>
              <w:sz w:val="20"/>
              <w:lang w:eastAsia="ja-JP"/>
            </w:rPr>
            <w:t>Revision Date:</w:t>
          </w:r>
          <w:r>
            <w:rPr>
              <w:rFonts w:ascii="Arial" w:hAnsi="Arial" w:cs="Arial"/>
              <w:sz w:val="20"/>
              <w:lang w:eastAsia="ja-JP"/>
            </w:rPr>
            <w:tab/>
          </w:r>
          <w:r w:rsidRPr="00AC1668">
            <w:rPr>
              <w:rFonts w:ascii="Arial" w:hAnsi="Arial" w:cs="Arial"/>
              <w:sz w:val="20"/>
              <w:lang w:eastAsia="ja-JP"/>
            </w:rPr>
            <w:t>New</w:t>
          </w:r>
          <w:r w:rsidRPr="00AC1668">
            <w:rPr>
              <w:rFonts w:ascii="Arial" w:hAnsi="Arial" w:cs="Arial"/>
              <w:sz w:val="20"/>
              <w:lang w:eastAsia="ja-JP"/>
            </w:rPr>
            <w:tab/>
          </w:r>
        </w:p>
      </w:tc>
    </w:tr>
    <w:tr w:rsidR="00D15936" w:rsidRPr="00AC1668" w14:paraId="41542844" w14:textId="77777777" w:rsidTr="00B97038">
      <w:trPr>
        <w:trHeight w:val="881"/>
        <w:jc w:val="center"/>
      </w:trPr>
      <w:tc>
        <w:tcPr>
          <w:tcW w:w="4758" w:type="dxa"/>
          <w:vAlign w:val="center"/>
        </w:tcPr>
        <w:p w14:paraId="18A79900" w14:textId="77777777" w:rsidR="002D4691" w:rsidRDefault="00D00789" w:rsidP="00D15936">
          <w:pPr>
            <w:suppressAutoHyphens/>
            <w:spacing w:line="100" w:lineRule="atLeast"/>
            <w:jc w:val="center"/>
            <w:rPr>
              <w:rFonts w:ascii="Arial" w:hAnsi="Arial" w:cs="Arial"/>
              <w:b/>
              <w:bCs/>
              <w:sz w:val="28"/>
              <w:szCs w:val="28"/>
              <w:lang w:eastAsia="ar-SA"/>
            </w:rPr>
          </w:pPr>
          <w:r w:rsidRPr="00D00789">
            <w:rPr>
              <w:rFonts w:ascii="Arial" w:hAnsi="Arial" w:cs="Arial"/>
              <w:b/>
              <w:bCs/>
              <w:sz w:val="28"/>
              <w:szCs w:val="28"/>
              <w:lang w:eastAsia="ar-SA"/>
            </w:rPr>
            <w:t xml:space="preserve">Hub User GMP </w:t>
          </w:r>
        </w:p>
        <w:p w14:paraId="271B5706" w14:textId="5DAEDED6" w:rsidR="00D15936" w:rsidRPr="00AC1668" w:rsidRDefault="00D00789" w:rsidP="00D15936">
          <w:pPr>
            <w:suppressAutoHyphens/>
            <w:spacing w:line="100" w:lineRule="atLeast"/>
            <w:jc w:val="center"/>
            <w:rPr>
              <w:rFonts w:ascii="Arial" w:hAnsi="Arial" w:cs="Arial"/>
              <w:b/>
              <w:bCs/>
              <w:lang w:eastAsia="ar-SA"/>
            </w:rPr>
          </w:pPr>
          <w:r w:rsidRPr="00D00789">
            <w:rPr>
              <w:rFonts w:ascii="Arial" w:hAnsi="Arial" w:cs="Arial"/>
              <w:b/>
              <w:bCs/>
              <w:sz w:val="28"/>
              <w:szCs w:val="28"/>
              <w:lang w:eastAsia="ar-SA"/>
            </w:rPr>
            <w:t>Commitment</w:t>
          </w:r>
        </w:p>
      </w:tc>
      <w:tc>
        <w:tcPr>
          <w:tcW w:w="5204" w:type="dxa"/>
          <w:vAlign w:val="center"/>
        </w:tcPr>
        <w:p w14:paraId="5EE65A1E" w14:textId="77777777" w:rsidR="00D15936" w:rsidRPr="00AC1668" w:rsidRDefault="00D15936" w:rsidP="00D15936">
          <w:pPr>
            <w:widowControl w:val="0"/>
            <w:tabs>
              <w:tab w:val="left" w:pos="2304"/>
              <w:tab w:val="left" w:pos="2423"/>
            </w:tabs>
            <w:kinsoku w:val="0"/>
            <w:overflowPunct w:val="0"/>
            <w:autoSpaceDE w:val="0"/>
            <w:autoSpaceDN w:val="0"/>
            <w:adjustRightInd w:val="0"/>
            <w:spacing w:line="276" w:lineRule="auto"/>
            <w:ind w:left="187" w:right="567"/>
            <w:rPr>
              <w:rFonts w:ascii="Arial" w:hAnsi="Arial" w:cs="Arial"/>
              <w:sz w:val="20"/>
              <w:lang w:eastAsia="ja-JP"/>
            </w:rPr>
          </w:pPr>
          <w:r w:rsidRPr="00AC1668">
            <w:rPr>
              <w:rFonts w:ascii="Arial" w:hAnsi="Arial" w:cs="Arial"/>
              <w:sz w:val="20"/>
              <w:lang w:eastAsia="ja-JP"/>
            </w:rPr>
            <w:t>Revised By</w:t>
          </w:r>
          <w:r>
            <w:rPr>
              <w:rFonts w:ascii="Arial" w:hAnsi="Arial" w:cs="Arial"/>
              <w:sz w:val="20"/>
              <w:lang w:eastAsia="ja-JP"/>
            </w:rPr>
            <w:t>:</w:t>
          </w:r>
          <w:r>
            <w:rPr>
              <w:rFonts w:ascii="Arial" w:hAnsi="Arial" w:cs="Arial"/>
              <w:sz w:val="20"/>
              <w:lang w:eastAsia="ja-JP"/>
            </w:rPr>
            <w:tab/>
          </w:r>
          <w:proofErr w:type="spellStart"/>
          <w:r w:rsidRPr="00AC1668">
            <w:rPr>
              <w:rFonts w:ascii="Arial" w:hAnsi="Arial" w:cs="Arial"/>
              <w:sz w:val="20"/>
              <w:lang w:eastAsia="ja-JP"/>
            </w:rPr>
            <w:t>MDaskis</w:t>
          </w:r>
          <w:proofErr w:type="spellEnd"/>
        </w:p>
        <w:p w14:paraId="461C220A" w14:textId="77777777" w:rsidR="00D15936" w:rsidRPr="00AC1668" w:rsidRDefault="00D15936" w:rsidP="00D15936">
          <w:pPr>
            <w:widowControl w:val="0"/>
            <w:tabs>
              <w:tab w:val="left" w:pos="2304"/>
              <w:tab w:val="left" w:pos="2423"/>
            </w:tabs>
            <w:kinsoku w:val="0"/>
            <w:overflowPunct w:val="0"/>
            <w:autoSpaceDE w:val="0"/>
            <w:autoSpaceDN w:val="0"/>
            <w:adjustRightInd w:val="0"/>
            <w:spacing w:line="276" w:lineRule="auto"/>
            <w:ind w:left="187" w:right="574"/>
            <w:rPr>
              <w:rFonts w:ascii="Arial" w:hAnsi="Arial" w:cs="Arial"/>
              <w:sz w:val="20"/>
              <w:lang w:eastAsia="ja-JP"/>
            </w:rPr>
          </w:pPr>
          <w:r w:rsidRPr="00AC1668">
            <w:rPr>
              <w:rFonts w:ascii="Arial" w:hAnsi="Arial" w:cs="Arial"/>
              <w:sz w:val="20"/>
              <w:lang w:eastAsia="ja-JP"/>
            </w:rPr>
            <w:t>Approved By:</w:t>
          </w:r>
          <w:r>
            <w:rPr>
              <w:rFonts w:ascii="Arial" w:hAnsi="Arial" w:cs="Arial"/>
              <w:sz w:val="20"/>
              <w:lang w:eastAsia="ja-JP"/>
            </w:rPr>
            <w:tab/>
          </w:r>
          <w:proofErr w:type="spellStart"/>
          <w:r w:rsidRPr="00AC1668">
            <w:rPr>
              <w:rFonts w:ascii="Arial" w:hAnsi="Arial" w:cs="Arial"/>
              <w:sz w:val="20"/>
              <w:lang w:eastAsia="ja-JP"/>
            </w:rPr>
            <w:t>NRoss</w:t>
          </w:r>
          <w:proofErr w:type="spellEnd"/>
        </w:p>
        <w:p w14:paraId="4052BE1D" w14:textId="77777777" w:rsidR="00D15936" w:rsidRPr="00AC1668" w:rsidRDefault="00D15936" w:rsidP="00D15936">
          <w:pPr>
            <w:tabs>
              <w:tab w:val="left" w:pos="2304"/>
            </w:tabs>
            <w:suppressAutoHyphens/>
            <w:spacing w:line="100" w:lineRule="atLeast"/>
            <w:ind w:left="187"/>
            <w:rPr>
              <w:sz w:val="20"/>
              <w:lang w:eastAsia="ar-SA"/>
            </w:rPr>
          </w:pPr>
          <w:r w:rsidRPr="00AC1668">
            <w:rPr>
              <w:rFonts w:ascii="Arial" w:hAnsi="Arial" w:cs="Arial"/>
              <w:sz w:val="20"/>
              <w:lang w:eastAsia="ja-JP"/>
            </w:rPr>
            <w:t>Reason</w:t>
          </w:r>
          <w:r w:rsidRPr="00AC1668">
            <w:rPr>
              <w:rFonts w:ascii="Arial" w:hAnsi="Arial" w:cs="Arial"/>
              <w:spacing w:val="-13"/>
              <w:sz w:val="20"/>
              <w:lang w:eastAsia="ja-JP"/>
            </w:rPr>
            <w:t xml:space="preserve"> </w:t>
          </w:r>
          <w:r w:rsidRPr="00AC1668">
            <w:rPr>
              <w:rFonts w:ascii="Arial" w:hAnsi="Arial" w:cs="Arial"/>
              <w:sz w:val="20"/>
              <w:lang w:eastAsia="ja-JP"/>
            </w:rPr>
            <w:t>for</w:t>
          </w:r>
          <w:r w:rsidRPr="00AC1668">
            <w:rPr>
              <w:rFonts w:ascii="Arial" w:hAnsi="Arial" w:cs="Arial"/>
              <w:spacing w:val="-12"/>
              <w:sz w:val="20"/>
              <w:lang w:eastAsia="ja-JP"/>
            </w:rPr>
            <w:t xml:space="preserve"> </w:t>
          </w:r>
          <w:r w:rsidRPr="00AC1668">
            <w:rPr>
              <w:rFonts w:ascii="Arial" w:hAnsi="Arial" w:cs="Arial"/>
              <w:sz w:val="20"/>
              <w:lang w:eastAsia="ja-JP"/>
            </w:rPr>
            <w:t>Revision:</w:t>
          </w:r>
          <w:r>
            <w:rPr>
              <w:rFonts w:ascii="Arial" w:hAnsi="Arial" w:cs="Arial"/>
              <w:sz w:val="20"/>
              <w:lang w:eastAsia="ja-JP"/>
            </w:rPr>
            <w:tab/>
          </w:r>
          <w:r w:rsidRPr="00AC1668">
            <w:rPr>
              <w:rFonts w:ascii="Arial" w:hAnsi="Arial" w:cs="Arial"/>
              <w:sz w:val="20"/>
              <w:lang w:eastAsia="ja-JP"/>
            </w:rPr>
            <w:t>New</w:t>
          </w:r>
        </w:p>
      </w:tc>
    </w:tr>
  </w:tbl>
  <w:p w14:paraId="73E89704" w14:textId="4B0C169D" w:rsidR="00FE6CEA" w:rsidRPr="00987790" w:rsidRDefault="00FE6CEA" w:rsidP="00987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90E9D"/>
    <w:multiLevelType w:val="hybridMultilevel"/>
    <w:tmpl w:val="0EDA2680"/>
    <w:lvl w:ilvl="0" w:tplc="E18C53F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15580BBD"/>
    <w:multiLevelType w:val="hybridMultilevel"/>
    <w:tmpl w:val="0D06DE7C"/>
    <w:lvl w:ilvl="0" w:tplc="E18C53FA">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41962201">
    <w:abstractNumId w:val="0"/>
  </w:num>
  <w:num w:numId="2" w16cid:durableId="993337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26"/>
    <w:rsid w:val="00125A69"/>
    <w:rsid w:val="002D4691"/>
    <w:rsid w:val="004407C2"/>
    <w:rsid w:val="005D478D"/>
    <w:rsid w:val="006659CD"/>
    <w:rsid w:val="00717124"/>
    <w:rsid w:val="0073098F"/>
    <w:rsid w:val="008271BD"/>
    <w:rsid w:val="00961071"/>
    <w:rsid w:val="00987790"/>
    <w:rsid w:val="009F274F"/>
    <w:rsid w:val="00AC1048"/>
    <w:rsid w:val="00B97038"/>
    <w:rsid w:val="00C04F26"/>
    <w:rsid w:val="00CA0A4C"/>
    <w:rsid w:val="00D00789"/>
    <w:rsid w:val="00D15936"/>
    <w:rsid w:val="00DD1AD4"/>
    <w:rsid w:val="00E60C29"/>
    <w:rsid w:val="00E9791A"/>
    <w:rsid w:val="00EB6A04"/>
    <w:rsid w:val="00F22C8C"/>
    <w:rsid w:val="00FE6CEA"/>
    <w:rsid w:val="00FF30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99102"/>
  <w15:chartTrackingRefBased/>
  <w15:docId w15:val="{7747D9AD-18D9-4345-9DB0-41553B1A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rFonts w:ascii="Tahoma" w:hAnsi="Tahoma"/>
      <w:b/>
      <w:sz w:val="22"/>
      <w:lang w:val="en-GB"/>
    </w:rPr>
  </w:style>
  <w:style w:type="paragraph" w:styleId="ListParagraph">
    <w:name w:val="List Paragraph"/>
    <w:basedOn w:val="Normal"/>
    <w:uiPriority w:val="34"/>
    <w:qFormat/>
    <w:rsid w:val="00717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Employee Good Manufacturing Practices</vt:lpstr>
    </vt:vector>
  </TitlesOfParts>
  <Company>BCIT</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Good Manufacturing Practices</dc:title>
  <dc:subject>Hub User Good Manufacturing Practices</dc:subject>
  <dc:creator>SSFPA</dc:creator>
  <cp:keywords>Employee Good Manufacturing Practices</cp:keywords>
  <dc:description>Thank you for supporting www.ssfpa.net</dc:description>
  <cp:lastModifiedBy>Ross Food Consulting</cp:lastModifiedBy>
  <cp:revision>15</cp:revision>
  <cp:lastPrinted>2007-12-04T22:04:00Z</cp:lastPrinted>
  <dcterms:created xsi:type="dcterms:W3CDTF">2022-08-24T18:54:00Z</dcterms:created>
  <dcterms:modified xsi:type="dcterms:W3CDTF">2022-11-27T23:16:00Z</dcterms:modified>
  <cp:category>Food Safety</cp:category>
  <cp:contentStatus>Final</cp:contentStatus>
</cp:coreProperties>
</file>