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52C98" w14:textId="77777777" w:rsidR="00F46F14" w:rsidRDefault="00C3734A">
      <w:pPr>
        <w:pStyle w:val="Heading1"/>
        <w:spacing w:after="0" w:line="276" w:lineRule="auto"/>
        <w:ind w:firstLine="0"/>
      </w:pPr>
      <w:r>
        <w:t>OBJECTIVE:</w:t>
      </w:r>
    </w:p>
    <w:p w14:paraId="06DCA5D4" w14:textId="77777777" w:rsidR="00F46F14" w:rsidRDefault="00F46F14">
      <w:pPr>
        <w:widowControl w:val="0"/>
        <w:pBdr>
          <w:top w:val="nil"/>
          <w:left w:val="nil"/>
          <w:bottom w:val="nil"/>
          <w:right w:val="nil"/>
          <w:between w:val="nil"/>
        </w:pBdr>
        <w:spacing w:after="0" w:line="276" w:lineRule="auto"/>
        <w:ind w:left="115"/>
        <w:rPr>
          <w:rFonts w:ascii="Arial" w:eastAsia="Arial" w:hAnsi="Arial" w:cs="Arial"/>
          <w:color w:val="000000"/>
          <w:sz w:val="20"/>
          <w:szCs w:val="20"/>
        </w:rPr>
      </w:pPr>
    </w:p>
    <w:p w14:paraId="59D26AFD" w14:textId="77777777" w:rsidR="00F46F14" w:rsidRDefault="00C3734A">
      <w:pPr>
        <w:widowControl w:val="0"/>
        <w:pBdr>
          <w:top w:val="nil"/>
          <w:left w:val="nil"/>
          <w:bottom w:val="nil"/>
          <w:right w:val="nil"/>
          <w:between w:val="nil"/>
        </w:pBdr>
        <w:spacing w:after="0" w:line="276" w:lineRule="auto"/>
        <w:ind w:left="115"/>
        <w:rPr>
          <w:rFonts w:ascii="Arial" w:eastAsia="Arial" w:hAnsi="Arial" w:cs="Arial"/>
          <w:color w:val="000000"/>
          <w:sz w:val="20"/>
          <w:szCs w:val="20"/>
        </w:rPr>
      </w:pPr>
      <w:r>
        <w:rPr>
          <w:rFonts w:ascii="Arial" w:eastAsia="Arial" w:hAnsi="Arial" w:cs="Arial"/>
          <w:color w:val="000000"/>
          <w:sz w:val="20"/>
          <w:szCs w:val="20"/>
        </w:rPr>
        <w:t xml:space="preserve">This SOP outlines the procedure for handling garbage, compost, and recycling, and frying oil disposal at the HUB.  </w:t>
      </w:r>
    </w:p>
    <w:p w14:paraId="0D3FAEEC" w14:textId="77777777" w:rsidR="003D2679" w:rsidRDefault="003D2679" w:rsidP="003D2679"/>
    <w:p w14:paraId="7C6DAC9D" w14:textId="2A4AA8EF" w:rsidR="00F46F14" w:rsidRDefault="00C3734A">
      <w:pPr>
        <w:pStyle w:val="Heading1"/>
        <w:spacing w:after="0" w:line="276" w:lineRule="auto"/>
        <w:ind w:firstLine="0"/>
      </w:pPr>
      <w:r>
        <w:t>SCOPE:</w:t>
      </w:r>
    </w:p>
    <w:p w14:paraId="1683FF32" w14:textId="77777777" w:rsidR="00F46F14" w:rsidRDefault="00F46F14">
      <w:pPr>
        <w:spacing w:after="0" w:line="276" w:lineRule="auto"/>
      </w:pPr>
    </w:p>
    <w:p w14:paraId="60E1D3E4" w14:textId="77777777" w:rsidR="00F46F14" w:rsidRDefault="00C3734A">
      <w:pPr>
        <w:widowControl w:val="0"/>
        <w:pBdr>
          <w:top w:val="nil"/>
          <w:left w:val="nil"/>
          <w:bottom w:val="nil"/>
          <w:right w:val="nil"/>
          <w:between w:val="nil"/>
        </w:pBdr>
        <w:spacing w:after="0" w:line="276" w:lineRule="auto"/>
        <w:ind w:left="115"/>
        <w:rPr>
          <w:rFonts w:ascii="Arial" w:eastAsia="Arial" w:hAnsi="Arial" w:cs="Arial"/>
          <w:color w:val="000000"/>
          <w:sz w:val="20"/>
          <w:szCs w:val="20"/>
        </w:rPr>
      </w:pPr>
      <w:r>
        <w:rPr>
          <w:rFonts w:ascii="Arial" w:eastAsia="Arial" w:hAnsi="Arial" w:cs="Arial"/>
          <w:color w:val="000000"/>
          <w:sz w:val="20"/>
          <w:szCs w:val="20"/>
        </w:rPr>
        <w:t xml:space="preserve">This SOP is read by all users and owners of HUB.  </w:t>
      </w:r>
    </w:p>
    <w:p w14:paraId="528AAA8B" w14:textId="77777777" w:rsidR="00F46F14" w:rsidRDefault="00C3734A">
      <w:pPr>
        <w:widowControl w:val="0"/>
        <w:pBdr>
          <w:top w:val="nil"/>
          <w:left w:val="nil"/>
          <w:bottom w:val="nil"/>
          <w:right w:val="nil"/>
          <w:between w:val="nil"/>
        </w:pBdr>
        <w:spacing w:after="0" w:line="276" w:lineRule="auto"/>
        <w:ind w:left="115"/>
        <w:rPr>
          <w:rFonts w:ascii="Arial" w:eastAsia="Arial" w:hAnsi="Arial" w:cs="Arial"/>
          <w:color w:val="000000"/>
          <w:sz w:val="20"/>
          <w:szCs w:val="20"/>
        </w:rPr>
      </w:pPr>
      <w:r>
        <w:rPr>
          <w:rFonts w:ascii="Arial" w:eastAsia="Arial" w:hAnsi="Arial" w:cs="Arial"/>
          <w:color w:val="000000"/>
          <w:sz w:val="20"/>
          <w:szCs w:val="20"/>
        </w:rPr>
        <w:t xml:space="preserve">Waste disposal may be a shared tasks with HUB owner taking responsibility for community garbage and individual HUB Users taking responsibility for own garbage and recycling by taking it out of the facility at end of production day.  </w:t>
      </w:r>
    </w:p>
    <w:p w14:paraId="2CBD72BC" w14:textId="77777777" w:rsidR="00F46F14" w:rsidRDefault="00C3734A">
      <w:pPr>
        <w:widowControl w:val="0"/>
        <w:pBdr>
          <w:top w:val="nil"/>
          <w:left w:val="nil"/>
          <w:bottom w:val="nil"/>
          <w:right w:val="nil"/>
          <w:between w:val="nil"/>
        </w:pBdr>
        <w:spacing w:after="0" w:line="276" w:lineRule="auto"/>
        <w:ind w:left="115"/>
        <w:rPr>
          <w:rFonts w:ascii="Arial" w:eastAsia="Arial" w:hAnsi="Arial" w:cs="Arial"/>
          <w:color w:val="000000"/>
          <w:sz w:val="20"/>
          <w:szCs w:val="20"/>
        </w:rPr>
      </w:pPr>
      <w:r>
        <w:rPr>
          <w:rFonts w:ascii="Arial" w:eastAsia="Arial" w:hAnsi="Arial" w:cs="Arial"/>
          <w:color w:val="000000"/>
          <w:sz w:val="20"/>
          <w:szCs w:val="20"/>
        </w:rPr>
        <w:t>Garbage must be handle</w:t>
      </w:r>
      <w:r>
        <w:rPr>
          <w:rFonts w:ascii="Arial" w:eastAsia="Arial" w:hAnsi="Arial" w:cs="Arial"/>
          <w:color w:val="000000"/>
          <w:sz w:val="20"/>
          <w:szCs w:val="20"/>
        </w:rPr>
        <w:t xml:space="preserve">d in a way as not to become an unsightly mess or a source of contamination and pest infestations.   </w:t>
      </w:r>
    </w:p>
    <w:p w14:paraId="7AE760C6" w14:textId="77777777" w:rsidR="00F46F14" w:rsidRDefault="00F46F14">
      <w:pPr>
        <w:spacing w:after="0"/>
      </w:pPr>
    </w:p>
    <w:p w14:paraId="19787AE7" w14:textId="77777777" w:rsidR="00F46F14" w:rsidRDefault="00C3734A">
      <w:pPr>
        <w:pStyle w:val="Heading1"/>
        <w:spacing w:after="0" w:line="240" w:lineRule="auto"/>
        <w:ind w:firstLine="0"/>
      </w:pPr>
      <w:r>
        <w:t>PROCEDURE:</w:t>
      </w:r>
    </w:p>
    <w:p w14:paraId="3E0FA3D8" w14:textId="77777777" w:rsidR="00F46F14" w:rsidRDefault="00F46F14">
      <w:pPr>
        <w:spacing w:after="0" w:line="276" w:lineRule="auto"/>
      </w:pPr>
    </w:p>
    <w:p w14:paraId="790D6A96" w14:textId="77777777" w:rsidR="00F46F14" w:rsidRDefault="00C3734A" w:rsidP="00951DA8">
      <w:pPr>
        <w:widowControl w:val="0"/>
        <w:numPr>
          <w:ilvl w:val="0"/>
          <w:numId w:val="1"/>
        </w:numPr>
        <w:pBdr>
          <w:top w:val="nil"/>
          <w:left w:val="nil"/>
          <w:bottom w:val="nil"/>
          <w:right w:val="nil"/>
          <w:between w:val="nil"/>
        </w:pBdr>
        <w:spacing w:before="40" w:after="40" w:line="240" w:lineRule="auto"/>
        <w:rPr>
          <w:rFonts w:ascii="Arial" w:eastAsia="Arial" w:hAnsi="Arial" w:cs="Arial"/>
          <w:color w:val="000000"/>
          <w:sz w:val="20"/>
          <w:szCs w:val="20"/>
        </w:rPr>
      </w:pPr>
      <w:r>
        <w:rPr>
          <w:rFonts w:ascii="Arial" w:eastAsia="Arial" w:hAnsi="Arial" w:cs="Arial"/>
          <w:color w:val="000000"/>
          <w:sz w:val="20"/>
          <w:szCs w:val="20"/>
        </w:rPr>
        <w:t>There is a designated area outside of the HUB for storage of waste (garbage, compost, recycling).  Bins should be locked.  Key for bin is avai</w:t>
      </w:r>
      <w:r>
        <w:rPr>
          <w:rFonts w:ascii="Arial" w:eastAsia="Arial" w:hAnsi="Arial" w:cs="Arial"/>
          <w:color w:val="000000"/>
          <w:sz w:val="20"/>
          <w:szCs w:val="20"/>
        </w:rPr>
        <w:t xml:space="preserve">lable </w:t>
      </w:r>
      <w:r>
        <w:rPr>
          <w:rFonts w:ascii="Arial" w:eastAsia="Arial" w:hAnsi="Arial" w:cs="Arial"/>
          <w:i/>
          <w:color w:val="000000"/>
          <w:sz w:val="20"/>
          <w:szCs w:val="20"/>
        </w:rPr>
        <w:t>(where?)</w:t>
      </w:r>
    </w:p>
    <w:p w14:paraId="12BEE386" w14:textId="77777777" w:rsidR="00F46F14" w:rsidRDefault="00C3734A" w:rsidP="00951DA8">
      <w:pPr>
        <w:widowControl w:val="0"/>
        <w:numPr>
          <w:ilvl w:val="0"/>
          <w:numId w:val="1"/>
        </w:numPr>
        <w:pBdr>
          <w:top w:val="nil"/>
          <w:left w:val="nil"/>
          <w:bottom w:val="nil"/>
          <w:right w:val="nil"/>
          <w:between w:val="nil"/>
        </w:pBdr>
        <w:spacing w:before="40" w:after="40" w:line="240" w:lineRule="auto"/>
      </w:pPr>
      <w:r>
        <w:rPr>
          <w:rFonts w:ascii="Arial" w:eastAsia="Arial" w:hAnsi="Arial" w:cs="Arial"/>
          <w:color w:val="000000"/>
          <w:sz w:val="20"/>
          <w:szCs w:val="20"/>
        </w:rPr>
        <w:t xml:space="preserve">Garbage pick-up is done (x) times per week.  Service </w:t>
      </w:r>
      <w:proofErr w:type="gramStart"/>
      <w:r>
        <w:rPr>
          <w:rFonts w:ascii="Arial" w:eastAsia="Arial" w:hAnsi="Arial" w:cs="Arial"/>
          <w:color w:val="000000"/>
          <w:sz w:val="20"/>
          <w:szCs w:val="20"/>
        </w:rPr>
        <w:t>provider</w:t>
      </w:r>
      <w:proofErr w:type="gramEnd"/>
      <w:r>
        <w:rPr>
          <w:rFonts w:ascii="Arial" w:eastAsia="Arial" w:hAnsi="Arial" w:cs="Arial"/>
          <w:color w:val="000000"/>
          <w:sz w:val="20"/>
          <w:szCs w:val="20"/>
        </w:rPr>
        <w:t xml:space="preserve"> contact information is available on List of Approved Supplier (or included here).</w:t>
      </w:r>
    </w:p>
    <w:p w14:paraId="402B35DD" w14:textId="77777777" w:rsidR="00F46F14" w:rsidRDefault="00C3734A" w:rsidP="00951DA8">
      <w:pPr>
        <w:widowControl w:val="0"/>
        <w:numPr>
          <w:ilvl w:val="0"/>
          <w:numId w:val="1"/>
        </w:numPr>
        <w:pBdr>
          <w:top w:val="nil"/>
          <w:left w:val="nil"/>
          <w:bottom w:val="nil"/>
          <w:right w:val="nil"/>
          <w:between w:val="nil"/>
        </w:pBdr>
        <w:spacing w:before="40" w:after="40" w:line="240" w:lineRule="auto"/>
      </w:pPr>
      <w:r>
        <w:rPr>
          <w:rFonts w:ascii="Arial" w:eastAsia="Arial" w:hAnsi="Arial" w:cs="Arial"/>
          <w:color w:val="000000"/>
          <w:sz w:val="20"/>
          <w:szCs w:val="20"/>
        </w:rPr>
        <w:t>Waste receptacles are identified on plant schematic.  Cleaning and sanitizing waste receptacles are on the Sanit</w:t>
      </w:r>
      <w:r>
        <w:rPr>
          <w:rFonts w:ascii="Arial" w:eastAsia="Arial" w:hAnsi="Arial" w:cs="Arial"/>
          <w:color w:val="000000"/>
          <w:sz w:val="20"/>
          <w:szCs w:val="20"/>
        </w:rPr>
        <w:t xml:space="preserve">ation Task List.  </w:t>
      </w:r>
    </w:p>
    <w:p w14:paraId="54BE433D" w14:textId="77777777" w:rsidR="00F46F14" w:rsidRDefault="00C3734A" w:rsidP="00951DA8">
      <w:pPr>
        <w:widowControl w:val="0"/>
        <w:numPr>
          <w:ilvl w:val="0"/>
          <w:numId w:val="1"/>
        </w:numPr>
        <w:pBdr>
          <w:top w:val="nil"/>
          <w:left w:val="nil"/>
          <w:bottom w:val="nil"/>
          <w:right w:val="nil"/>
          <w:between w:val="nil"/>
        </w:pBdr>
        <w:spacing w:before="40" w:after="40" w:line="240" w:lineRule="auto"/>
        <w:rPr>
          <w:rFonts w:ascii="Arial" w:eastAsia="Arial" w:hAnsi="Arial" w:cs="Arial"/>
          <w:color w:val="000000"/>
          <w:sz w:val="20"/>
          <w:szCs w:val="20"/>
        </w:rPr>
      </w:pPr>
      <w:r>
        <w:rPr>
          <w:rFonts w:ascii="Arial" w:eastAsia="Arial" w:hAnsi="Arial" w:cs="Arial"/>
          <w:color w:val="000000"/>
          <w:sz w:val="20"/>
          <w:szCs w:val="20"/>
        </w:rPr>
        <w:t>All people taking garbage out must remove aprons before taking garbage out to bin.  Do not use trolleys or carts that have been used in the HUB to transfer garbage to outside area.  HUB will provide designated trolley for garbage.</w:t>
      </w:r>
    </w:p>
    <w:p w14:paraId="222660D7" w14:textId="77777777" w:rsidR="00F46F14" w:rsidRDefault="00C3734A" w:rsidP="00951DA8">
      <w:pPr>
        <w:widowControl w:val="0"/>
        <w:numPr>
          <w:ilvl w:val="0"/>
          <w:numId w:val="1"/>
        </w:numPr>
        <w:pBdr>
          <w:top w:val="nil"/>
          <w:left w:val="nil"/>
          <w:bottom w:val="nil"/>
          <w:right w:val="nil"/>
          <w:between w:val="nil"/>
        </w:pBdr>
        <w:spacing w:before="40" w:after="40" w:line="240" w:lineRule="auto"/>
        <w:rPr>
          <w:rFonts w:ascii="Arial" w:eastAsia="Arial" w:hAnsi="Arial" w:cs="Arial"/>
          <w:color w:val="000000"/>
          <w:sz w:val="20"/>
          <w:szCs w:val="20"/>
        </w:rPr>
      </w:pPr>
      <w:r>
        <w:rPr>
          <w:rFonts w:ascii="Arial" w:eastAsia="Arial" w:hAnsi="Arial" w:cs="Arial"/>
          <w:color w:val="000000"/>
          <w:sz w:val="20"/>
          <w:szCs w:val="20"/>
        </w:rPr>
        <w:t>Wash h</w:t>
      </w:r>
      <w:r>
        <w:rPr>
          <w:rFonts w:ascii="Arial" w:eastAsia="Arial" w:hAnsi="Arial" w:cs="Arial"/>
          <w:color w:val="000000"/>
          <w:sz w:val="20"/>
          <w:szCs w:val="20"/>
        </w:rPr>
        <w:t xml:space="preserve">ands and walk-through footbath or doorway sanitizer before reentering HUB facility after taking out garbage.   </w:t>
      </w:r>
    </w:p>
    <w:p w14:paraId="355DDE3D" w14:textId="77777777" w:rsidR="00F46F14" w:rsidRDefault="00C3734A" w:rsidP="00951DA8">
      <w:pPr>
        <w:widowControl w:val="0"/>
        <w:numPr>
          <w:ilvl w:val="0"/>
          <w:numId w:val="1"/>
        </w:numPr>
        <w:pBdr>
          <w:top w:val="nil"/>
          <w:left w:val="nil"/>
          <w:bottom w:val="nil"/>
          <w:right w:val="nil"/>
          <w:between w:val="nil"/>
        </w:pBdr>
        <w:spacing w:before="40" w:after="40" w:line="240" w:lineRule="auto"/>
      </w:pPr>
      <w:r>
        <w:rPr>
          <w:rFonts w:ascii="Arial" w:eastAsia="Arial" w:hAnsi="Arial" w:cs="Arial"/>
          <w:color w:val="000000"/>
          <w:sz w:val="20"/>
          <w:szCs w:val="20"/>
        </w:rPr>
        <w:t xml:space="preserve">Follow compost and recycling procedures for municipality.  A color-coded system is used to segregate recycling streams. </w:t>
      </w:r>
    </w:p>
    <w:p w14:paraId="6D23A499" w14:textId="77777777" w:rsidR="00F46F14" w:rsidRDefault="00C3734A" w:rsidP="00951DA8">
      <w:pPr>
        <w:widowControl w:val="0"/>
        <w:numPr>
          <w:ilvl w:val="0"/>
          <w:numId w:val="1"/>
        </w:numPr>
        <w:pBdr>
          <w:top w:val="nil"/>
          <w:left w:val="nil"/>
          <w:bottom w:val="nil"/>
          <w:right w:val="nil"/>
          <w:between w:val="nil"/>
        </w:pBdr>
        <w:spacing w:before="40" w:after="40" w:line="240" w:lineRule="auto"/>
      </w:pPr>
      <w:r>
        <w:rPr>
          <w:rFonts w:ascii="Arial" w:eastAsia="Arial" w:hAnsi="Arial" w:cs="Arial"/>
          <w:color w:val="000000"/>
          <w:sz w:val="20"/>
          <w:szCs w:val="20"/>
        </w:rPr>
        <w:t>Used cooking oil may be</w:t>
      </w:r>
      <w:r>
        <w:rPr>
          <w:rFonts w:ascii="Arial" w:eastAsia="Arial" w:hAnsi="Arial" w:cs="Arial"/>
          <w:color w:val="000000"/>
          <w:sz w:val="20"/>
          <w:szCs w:val="20"/>
        </w:rPr>
        <w:t xml:space="preserve"> dropped off at municipal collection </w:t>
      </w:r>
      <w:proofErr w:type="spellStart"/>
      <w:r>
        <w:rPr>
          <w:rFonts w:ascii="Arial" w:eastAsia="Arial" w:hAnsi="Arial" w:cs="Arial"/>
          <w:color w:val="000000"/>
          <w:sz w:val="20"/>
          <w:szCs w:val="20"/>
        </w:rPr>
        <w:t>centres</w:t>
      </w:r>
      <w:proofErr w:type="spellEnd"/>
      <w:r>
        <w:rPr>
          <w:rFonts w:ascii="Arial" w:eastAsia="Arial" w:hAnsi="Arial" w:cs="Arial"/>
          <w:color w:val="000000"/>
          <w:sz w:val="20"/>
          <w:szCs w:val="20"/>
        </w:rPr>
        <w:t>.  The use of a collection service may be required for large volumes of used oil.</w:t>
      </w:r>
    </w:p>
    <w:p w14:paraId="0B6E64A4" w14:textId="77777777" w:rsidR="00F46F14" w:rsidRDefault="00F46F14">
      <w:pPr>
        <w:spacing w:after="0" w:line="276" w:lineRule="auto"/>
      </w:pPr>
    </w:p>
    <w:p w14:paraId="2517A027" w14:textId="77777777" w:rsidR="00F46F14" w:rsidRDefault="00C3734A">
      <w:pPr>
        <w:pStyle w:val="Heading1"/>
        <w:spacing w:after="0" w:line="240" w:lineRule="auto"/>
        <w:ind w:firstLine="0"/>
      </w:pPr>
      <w:r>
        <w:lastRenderedPageBreak/>
        <w:t>DEVIATION PROCEDURE:</w:t>
      </w:r>
    </w:p>
    <w:p w14:paraId="1667B0F7" w14:textId="77777777" w:rsidR="00F46F14" w:rsidRDefault="00F46F14">
      <w:pPr>
        <w:widowControl w:val="0"/>
        <w:pBdr>
          <w:top w:val="nil"/>
          <w:left w:val="nil"/>
          <w:bottom w:val="nil"/>
          <w:right w:val="nil"/>
          <w:between w:val="nil"/>
        </w:pBdr>
        <w:spacing w:after="0" w:line="276" w:lineRule="auto"/>
        <w:ind w:left="115"/>
        <w:rPr>
          <w:rFonts w:ascii="Arial" w:eastAsia="Arial" w:hAnsi="Arial" w:cs="Arial"/>
          <w:color w:val="000000"/>
          <w:sz w:val="20"/>
          <w:szCs w:val="20"/>
        </w:rPr>
      </w:pPr>
    </w:p>
    <w:p w14:paraId="22FCC16F" w14:textId="77777777" w:rsidR="00F46F14" w:rsidRDefault="00C3734A">
      <w:pPr>
        <w:widowControl w:val="0"/>
        <w:pBdr>
          <w:top w:val="nil"/>
          <w:left w:val="nil"/>
          <w:bottom w:val="nil"/>
          <w:right w:val="nil"/>
          <w:between w:val="nil"/>
        </w:pBdr>
        <w:spacing w:after="0" w:line="276" w:lineRule="auto"/>
        <w:ind w:left="115"/>
        <w:rPr>
          <w:rFonts w:ascii="Arial" w:eastAsia="Arial" w:hAnsi="Arial" w:cs="Arial"/>
          <w:color w:val="000000"/>
          <w:sz w:val="20"/>
          <w:szCs w:val="20"/>
        </w:rPr>
      </w:pPr>
      <w:r>
        <w:rPr>
          <w:rFonts w:ascii="Arial" w:eastAsia="Arial" w:hAnsi="Arial" w:cs="Arial"/>
          <w:color w:val="000000"/>
          <w:sz w:val="20"/>
          <w:szCs w:val="20"/>
        </w:rPr>
        <w:t xml:space="preserve">Monitor HUB User behavior and retrain as necessary.  </w:t>
      </w:r>
    </w:p>
    <w:p w14:paraId="559580A9" w14:textId="6535ACE6" w:rsidR="00951DA8" w:rsidRDefault="00C3734A">
      <w:pPr>
        <w:widowControl w:val="0"/>
        <w:pBdr>
          <w:top w:val="nil"/>
          <w:left w:val="nil"/>
          <w:bottom w:val="nil"/>
          <w:right w:val="nil"/>
          <w:between w:val="nil"/>
        </w:pBdr>
        <w:spacing w:after="0" w:line="276" w:lineRule="auto"/>
        <w:ind w:left="115"/>
        <w:rPr>
          <w:rFonts w:ascii="Arial" w:eastAsia="Arial" w:hAnsi="Arial" w:cs="Arial"/>
          <w:color w:val="000000"/>
          <w:sz w:val="20"/>
          <w:szCs w:val="20"/>
        </w:rPr>
      </w:pPr>
      <w:r>
        <w:rPr>
          <w:rFonts w:ascii="Arial" w:eastAsia="Arial" w:hAnsi="Arial" w:cs="Arial"/>
          <w:color w:val="000000"/>
          <w:sz w:val="20"/>
          <w:szCs w:val="20"/>
        </w:rPr>
        <w:t xml:space="preserve">Contact service provider if pickup is missed.  </w:t>
      </w:r>
    </w:p>
    <w:p w14:paraId="5736E871" w14:textId="77777777" w:rsidR="00951DA8" w:rsidRDefault="00951DA8">
      <w:pPr>
        <w:rPr>
          <w:rFonts w:ascii="Arial" w:eastAsia="Arial" w:hAnsi="Arial" w:cs="Arial"/>
          <w:color w:val="000000"/>
          <w:sz w:val="20"/>
          <w:szCs w:val="20"/>
        </w:rPr>
      </w:pPr>
      <w:r>
        <w:rPr>
          <w:rFonts w:ascii="Arial" w:eastAsia="Arial" w:hAnsi="Arial" w:cs="Arial"/>
          <w:color w:val="000000"/>
          <w:sz w:val="20"/>
          <w:szCs w:val="20"/>
        </w:rPr>
        <w:br w:type="page"/>
      </w:r>
    </w:p>
    <w:p w14:paraId="2375471B" w14:textId="77777777" w:rsidR="00F46F14" w:rsidRDefault="00F46F14">
      <w:pPr>
        <w:widowControl w:val="0"/>
        <w:pBdr>
          <w:top w:val="nil"/>
          <w:left w:val="nil"/>
          <w:bottom w:val="nil"/>
          <w:right w:val="nil"/>
          <w:between w:val="nil"/>
        </w:pBdr>
        <w:spacing w:after="0" w:line="276" w:lineRule="auto"/>
        <w:ind w:left="115"/>
        <w:rPr>
          <w:rFonts w:ascii="Arial" w:eastAsia="Arial" w:hAnsi="Arial" w:cs="Arial"/>
          <w:color w:val="000000"/>
          <w:sz w:val="20"/>
          <w:szCs w:val="20"/>
        </w:rPr>
      </w:pPr>
    </w:p>
    <w:p w14:paraId="6375BC38" w14:textId="77777777" w:rsidR="00F46F14" w:rsidRDefault="00F46F14">
      <w:pPr>
        <w:pStyle w:val="Heading1"/>
        <w:spacing w:after="0" w:line="240" w:lineRule="auto"/>
        <w:ind w:firstLine="0"/>
      </w:pPr>
    </w:p>
    <w:p w14:paraId="36C28E9B" w14:textId="77777777" w:rsidR="00F46F14" w:rsidRDefault="00C3734A">
      <w:pPr>
        <w:pStyle w:val="Heading1"/>
        <w:spacing w:after="0" w:line="240" w:lineRule="auto"/>
        <w:ind w:firstLine="0"/>
      </w:pPr>
      <w:r>
        <w:t>REC</w:t>
      </w:r>
      <w:r>
        <w:t>ORDS AND RELATED DOCUMENTS</w:t>
      </w:r>
    </w:p>
    <w:tbl>
      <w:tblPr>
        <w:tblStyle w:val="a0"/>
        <w:tblW w:w="8040" w:type="dxa"/>
        <w:tblLayout w:type="fixed"/>
        <w:tblLook w:val="0400" w:firstRow="0" w:lastRow="0" w:firstColumn="0" w:lastColumn="0" w:noHBand="0" w:noVBand="1"/>
      </w:tblPr>
      <w:tblGrid>
        <w:gridCol w:w="8040"/>
      </w:tblGrid>
      <w:tr w:rsidR="00F46F14" w14:paraId="7773D1FE" w14:textId="77777777">
        <w:trPr>
          <w:trHeight w:val="288"/>
        </w:trPr>
        <w:tc>
          <w:tcPr>
            <w:tcW w:w="8040" w:type="dxa"/>
            <w:tcBorders>
              <w:top w:val="nil"/>
              <w:left w:val="nil"/>
              <w:bottom w:val="nil"/>
              <w:right w:val="nil"/>
            </w:tcBorders>
            <w:shd w:val="clear" w:color="auto" w:fill="auto"/>
            <w:vAlign w:val="bottom"/>
          </w:tcPr>
          <w:p w14:paraId="60E5971D" w14:textId="77777777" w:rsidR="00F46F14" w:rsidRDefault="00F46F14">
            <w:pPr>
              <w:widowControl w:val="0"/>
              <w:pBdr>
                <w:top w:val="nil"/>
                <w:left w:val="nil"/>
                <w:bottom w:val="nil"/>
                <w:right w:val="nil"/>
                <w:between w:val="nil"/>
              </w:pBdr>
              <w:spacing w:after="0" w:line="276" w:lineRule="auto"/>
              <w:ind w:left="115"/>
              <w:rPr>
                <w:rFonts w:ascii="Arial" w:eastAsia="Arial" w:hAnsi="Arial" w:cs="Arial"/>
                <w:color w:val="000000"/>
                <w:sz w:val="20"/>
                <w:szCs w:val="20"/>
              </w:rPr>
            </w:pPr>
          </w:p>
          <w:p w14:paraId="62E32653" w14:textId="77777777" w:rsidR="00F46F14" w:rsidRDefault="00C3734A">
            <w:pPr>
              <w:widowControl w:val="0"/>
              <w:pBdr>
                <w:top w:val="nil"/>
                <w:left w:val="nil"/>
                <w:bottom w:val="nil"/>
                <w:right w:val="nil"/>
                <w:between w:val="nil"/>
              </w:pBdr>
              <w:spacing w:after="0" w:line="360" w:lineRule="auto"/>
              <w:ind w:left="115"/>
              <w:rPr>
                <w:rFonts w:ascii="Arial" w:eastAsia="Arial" w:hAnsi="Arial" w:cs="Arial"/>
                <w:color w:val="000000"/>
                <w:sz w:val="20"/>
                <w:szCs w:val="20"/>
              </w:rPr>
            </w:pPr>
            <w:r>
              <w:rPr>
                <w:rFonts w:ascii="Arial" w:eastAsia="Arial" w:hAnsi="Arial" w:cs="Arial"/>
                <w:color w:val="000000"/>
                <w:sz w:val="20"/>
                <w:szCs w:val="20"/>
              </w:rPr>
              <w:t>HUB.PRE.REC.</w:t>
            </w:r>
            <w:proofErr w:type="gramStart"/>
            <w:r>
              <w:rPr>
                <w:rFonts w:ascii="Arial" w:eastAsia="Arial" w:hAnsi="Arial" w:cs="Arial"/>
                <w:color w:val="000000"/>
                <w:sz w:val="20"/>
                <w:szCs w:val="20"/>
              </w:rPr>
              <w:t>10  Plant</w:t>
            </w:r>
            <w:proofErr w:type="gramEnd"/>
            <w:r>
              <w:rPr>
                <w:rFonts w:ascii="Arial" w:eastAsia="Arial" w:hAnsi="Arial" w:cs="Arial"/>
                <w:color w:val="000000"/>
                <w:sz w:val="20"/>
                <w:szCs w:val="20"/>
              </w:rPr>
              <w:t xml:space="preserve"> Schematic</w:t>
            </w:r>
          </w:p>
          <w:p w14:paraId="3F42227B" w14:textId="77777777" w:rsidR="00F46F14" w:rsidRDefault="00C3734A">
            <w:pPr>
              <w:widowControl w:val="0"/>
              <w:pBdr>
                <w:top w:val="nil"/>
                <w:left w:val="nil"/>
                <w:bottom w:val="nil"/>
                <w:right w:val="nil"/>
                <w:between w:val="nil"/>
              </w:pBdr>
              <w:spacing w:after="0" w:line="360" w:lineRule="auto"/>
              <w:ind w:left="115"/>
              <w:rPr>
                <w:rFonts w:ascii="Arial" w:eastAsia="Arial" w:hAnsi="Arial" w:cs="Arial"/>
                <w:color w:val="000000"/>
                <w:sz w:val="20"/>
                <w:szCs w:val="20"/>
              </w:rPr>
            </w:pPr>
            <w:r>
              <w:rPr>
                <w:rFonts w:ascii="Arial" w:eastAsia="Arial" w:hAnsi="Arial" w:cs="Arial"/>
                <w:color w:val="000000"/>
                <w:sz w:val="20"/>
                <w:szCs w:val="20"/>
              </w:rPr>
              <w:t>HUB.TRS.REC.</w:t>
            </w:r>
            <w:proofErr w:type="gramStart"/>
            <w:r>
              <w:rPr>
                <w:rFonts w:ascii="Arial" w:eastAsia="Arial" w:hAnsi="Arial" w:cs="Arial"/>
                <w:color w:val="000000"/>
                <w:sz w:val="20"/>
                <w:szCs w:val="20"/>
              </w:rPr>
              <w:t>134  List</w:t>
            </w:r>
            <w:proofErr w:type="gramEnd"/>
            <w:r>
              <w:rPr>
                <w:rFonts w:ascii="Arial" w:eastAsia="Arial" w:hAnsi="Arial" w:cs="Arial"/>
                <w:color w:val="000000"/>
                <w:sz w:val="20"/>
                <w:szCs w:val="20"/>
              </w:rPr>
              <w:t xml:space="preserve"> of Approved Suppliers</w:t>
            </w:r>
          </w:p>
          <w:p w14:paraId="6731AAD6" w14:textId="77777777" w:rsidR="00F46F14" w:rsidRDefault="00C3734A">
            <w:pPr>
              <w:widowControl w:val="0"/>
              <w:pBdr>
                <w:top w:val="nil"/>
                <w:left w:val="nil"/>
                <w:bottom w:val="nil"/>
                <w:right w:val="nil"/>
                <w:between w:val="nil"/>
              </w:pBdr>
              <w:spacing w:after="0" w:line="360" w:lineRule="auto"/>
              <w:ind w:left="115"/>
              <w:rPr>
                <w:rFonts w:ascii="Arial" w:eastAsia="Arial" w:hAnsi="Arial" w:cs="Arial"/>
                <w:color w:val="000000"/>
                <w:sz w:val="20"/>
                <w:szCs w:val="20"/>
              </w:rPr>
            </w:pPr>
            <w:proofErr w:type="gramStart"/>
            <w:r>
              <w:rPr>
                <w:rFonts w:ascii="Arial" w:eastAsia="Arial" w:hAnsi="Arial" w:cs="Arial"/>
                <w:color w:val="000000"/>
                <w:sz w:val="20"/>
                <w:szCs w:val="20"/>
              </w:rPr>
              <w:t>HUB.S.SIGN</w:t>
            </w:r>
            <w:proofErr w:type="gramEnd"/>
            <w:r>
              <w:rPr>
                <w:rFonts w:ascii="Arial" w:eastAsia="Arial" w:hAnsi="Arial" w:cs="Arial"/>
                <w:color w:val="000000"/>
                <w:sz w:val="20"/>
                <w:szCs w:val="20"/>
              </w:rPr>
              <w:t xml:space="preserve">.83  </w:t>
            </w:r>
            <w:proofErr w:type="spellStart"/>
            <w:r>
              <w:rPr>
                <w:rFonts w:ascii="Arial" w:eastAsia="Arial" w:hAnsi="Arial" w:cs="Arial"/>
                <w:color w:val="000000"/>
                <w:sz w:val="20"/>
                <w:szCs w:val="20"/>
              </w:rPr>
              <w:t>Colour</w:t>
            </w:r>
            <w:proofErr w:type="spellEnd"/>
            <w:r>
              <w:rPr>
                <w:rFonts w:ascii="Arial" w:eastAsia="Arial" w:hAnsi="Arial" w:cs="Arial"/>
                <w:color w:val="000000"/>
                <w:sz w:val="20"/>
                <w:szCs w:val="20"/>
              </w:rPr>
              <w:t xml:space="preserve"> Coding of Utensils and Equipment</w:t>
            </w:r>
          </w:p>
        </w:tc>
      </w:tr>
    </w:tbl>
    <w:p w14:paraId="314BFFF3" w14:textId="77777777" w:rsidR="00F46F14" w:rsidRDefault="00F46F14">
      <w:pPr>
        <w:pStyle w:val="Heading1"/>
        <w:spacing w:after="0" w:line="240" w:lineRule="auto"/>
        <w:ind w:firstLine="0"/>
      </w:pPr>
    </w:p>
    <w:p w14:paraId="4BA6DEB9" w14:textId="77777777" w:rsidR="00F46F14" w:rsidRDefault="00C3734A">
      <w:pPr>
        <w:pStyle w:val="Heading1"/>
        <w:spacing w:after="0" w:line="240" w:lineRule="auto"/>
        <w:ind w:firstLine="0"/>
      </w:pPr>
      <w:r>
        <w:t>REVIEW:</w:t>
      </w:r>
    </w:p>
    <w:p w14:paraId="5BBB4A0E" w14:textId="77777777" w:rsidR="00F46F14" w:rsidRDefault="00F46F14">
      <w:pPr>
        <w:widowControl w:val="0"/>
        <w:pBdr>
          <w:top w:val="nil"/>
          <w:left w:val="nil"/>
          <w:bottom w:val="nil"/>
          <w:right w:val="nil"/>
          <w:between w:val="nil"/>
        </w:pBdr>
        <w:spacing w:after="0" w:line="276" w:lineRule="auto"/>
        <w:ind w:left="115"/>
        <w:rPr>
          <w:rFonts w:ascii="Arial" w:eastAsia="Arial" w:hAnsi="Arial" w:cs="Arial"/>
          <w:color w:val="000000"/>
          <w:sz w:val="20"/>
          <w:szCs w:val="20"/>
        </w:rPr>
      </w:pPr>
    </w:p>
    <w:p w14:paraId="3B14D5AD" w14:textId="77777777" w:rsidR="00F46F14" w:rsidRDefault="00C3734A">
      <w:pPr>
        <w:widowControl w:val="0"/>
        <w:pBdr>
          <w:top w:val="nil"/>
          <w:left w:val="nil"/>
          <w:bottom w:val="nil"/>
          <w:right w:val="nil"/>
          <w:between w:val="nil"/>
        </w:pBdr>
        <w:spacing w:after="0" w:line="360" w:lineRule="auto"/>
        <w:ind w:left="115"/>
        <w:rPr>
          <w:rFonts w:ascii="Arial" w:eastAsia="Arial" w:hAnsi="Arial" w:cs="Arial"/>
          <w:color w:val="000000"/>
          <w:sz w:val="20"/>
          <w:szCs w:val="20"/>
        </w:rPr>
      </w:pPr>
      <w:r>
        <w:rPr>
          <w:rFonts w:ascii="Arial" w:eastAsia="Arial" w:hAnsi="Arial" w:cs="Arial"/>
          <w:color w:val="000000"/>
          <w:sz w:val="20"/>
          <w:szCs w:val="20"/>
        </w:rPr>
        <w:t>This SOP should be reviewed when changes occur and/or at least annually.</w:t>
      </w:r>
    </w:p>
    <w:sectPr w:rsidR="00F46F14">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7BD7C" w14:textId="77777777" w:rsidR="00000000" w:rsidRDefault="00C3734A">
      <w:pPr>
        <w:spacing w:after="0" w:line="240" w:lineRule="auto"/>
      </w:pPr>
      <w:r>
        <w:separator/>
      </w:r>
    </w:p>
  </w:endnote>
  <w:endnote w:type="continuationSeparator" w:id="0">
    <w:p w14:paraId="7C9F703F" w14:textId="77777777" w:rsidR="00000000" w:rsidRDefault="00C3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B1BD" w14:textId="77777777" w:rsidR="00F46F14" w:rsidRDefault="00F46F1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640B" w14:textId="77777777" w:rsidR="00F46F14" w:rsidRDefault="00F46F1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6244" w14:textId="77777777" w:rsidR="00F46F14" w:rsidRDefault="00F46F1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6187A" w14:textId="77777777" w:rsidR="00000000" w:rsidRDefault="00C3734A">
      <w:pPr>
        <w:spacing w:after="0" w:line="240" w:lineRule="auto"/>
      </w:pPr>
      <w:r>
        <w:separator/>
      </w:r>
    </w:p>
  </w:footnote>
  <w:footnote w:type="continuationSeparator" w:id="0">
    <w:p w14:paraId="0040AE43" w14:textId="77777777" w:rsidR="00000000" w:rsidRDefault="00C3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2828" w14:textId="77777777" w:rsidR="00F46F14" w:rsidRDefault="00F46F1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1"/>
      <w:tblW w:w="100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58"/>
      <w:gridCol w:w="5122"/>
    </w:tblGrid>
    <w:tr w:rsidR="00F46F14" w14:paraId="626491DE" w14:textId="77777777" w:rsidTr="003D2679">
      <w:trPr>
        <w:cantSplit/>
        <w:jc w:val="center"/>
      </w:trPr>
      <w:tc>
        <w:tcPr>
          <w:tcW w:w="4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EFD23D" w14:textId="21CC0A4C" w:rsidR="00F46F14" w:rsidRDefault="00C3734A">
          <w:pPr>
            <w:spacing w:before="20" w:after="0"/>
            <w:rPr>
              <w:rFonts w:ascii="Arial" w:eastAsia="Arial" w:hAnsi="Arial" w:cs="Arial"/>
              <w:b/>
              <w:sz w:val="12"/>
              <w:szCs w:val="12"/>
            </w:rPr>
          </w:pPr>
          <w:r>
            <w:rPr>
              <w:rFonts w:ascii="Arial" w:eastAsia="Arial" w:hAnsi="Arial" w:cs="Arial"/>
              <w:b/>
              <w:sz w:val="12"/>
              <w:szCs w:val="12"/>
            </w:rPr>
            <w:t xml:space="preserve"> </w:t>
          </w:r>
          <w:r w:rsidR="003D2679">
            <w:rPr>
              <w:rFonts w:ascii="Arial" w:hAnsi="Arial" w:cs="Arial"/>
              <w:noProof/>
              <w:sz w:val="20"/>
              <w:szCs w:val="20"/>
            </w:rPr>
            <w:drawing>
              <wp:inline distT="0" distB="0" distL="0" distR="0" wp14:anchorId="2BB3BE42" wp14:editId="2996A9BE">
                <wp:extent cx="1276350" cy="466725"/>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9"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466725"/>
                        </a:xfrm>
                        <a:prstGeom prst="rect">
                          <a:avLst/>
                        </a:prstGeom>
                        <a:noFill/>
                        <a:ln>
                          <a:noFill/>
                        </a:ln>
                      </pic:spPr>
                    </pic:pic>
                  </a:graphicData>
                </a:graphic>
              </wp:inline>
            </w:drawing>
          </w:r>
        </w:p>
      </w:tc>
      <w:tc>
        <w:tcPr>
          <w:tcW w:w="512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56164EC" w14:textId="4B50998B" w:rsidR="00F46F14" w:rsidRDefault="00C3734A">
          <w:pPr>
            <w:spacing w:after="0"/>
            <w:ind w:right="560"/>
          </w:pPr>
          <w:r>
            <w:t>Document No:</w:t>
          </w:r>
          <w:r w:rsidR="003D2679">
            <w:tab/>
          </w:r>
          <w:r>
            <w:t xml:space="preserve"> </w:t>
          </w:r>
          <w:r>
            <w:tab/>
            <w:t>HUB.S.SOP.53</w:t>
          </w:r>
        </w:p>
        <w:p w14:paraId="246987C1" w14:textId="757DD30B" w:rsidR="00F46F14" w:rsidRDefault="00C3734A">
          <w:pPr>
            <w:spacing w:after="0"/>
            <w:ind w:right="560"/>
          </w:pPr>
          <w:r>
            <w:t>Effective Date</w:t>
          </w:r>
          <w:r w:rsidR="003D2679">
            <w:tab/>
          </w:r>
          <w:r w:rsidR="003D2679">
            <w:tab/>
          </w:r>
          <w:r>
            <w:t>01-August 2022</w:t>
          </w:r>
        </w:p>
        <w:p w14:paraId="7F89BEAB" w14:textId="60C7D31F" w:rsidR="00F46F14" w:rsidRDefault="00C3734A">
          <w:pPr>
            <w:spacing w:after="0"/>
            <w:ind w:right="560"/>
          </w:pPr>
          <w:r>
            <w:t>Revision Date:</w:t>
          </w:r>
          <w:r w:rsidR="003D2679">
            <w:tab/>
          </w:r>
          <w:r w:rsidR="003D2679">
            <w:tab/>
          </w:r>
          <w:r>
            <w:t>New</w:t>
          </w:r>
        </w:p>
      </w:tc>
    </w:tr>
    <w:tr w:rsidR="00F46F14" w14:paraId="564D3920" w14:textId="77777777" w:rsidTr="003D2679">
      <w:trPr>
        <w:trHeight w:val="857"/>
        <w:jc w:val="center"/>
      </w:trPr>
      <w:tc>
        <w:tcPr>
          <w:tcW w:w="495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3CD348" w14:textId="6FECEC8D" w:rsidR="00F46F14" w:rsidRDefault="003D2679">
          <w:pPr>
            <w:spacing w:after="0" w:line="247" w:lineRule="auto"/>
            <w:ind w:left="280" w:right="140"/>
            <w:rPr>
              <w:rFonts w:ascii="Arial" w:eastAsia="Arial" w:hAnsi="Arial" w:cs="Arial"/>
              <w:b/>
              <w:sz w:val="28"/>
              <w:szCs w:val="28"/>
            </w:rPr>
          </w:pPr>
          <w:r>
            <w:rPr>
              <w:rFonts w:ascii="Arial" w:eastAsia="Arial" w:hAnsi="Arial" w:cs="Arial"/>
              <w:b/>
              <w:sz w:val="28"/>
              <w:szCs w:val="28"/>
            </w:rPr>
            <w:t>Waste SOP</w:t>
          </w:r>
        </w:p>
      </w:tc>
      <w:tc>
        <w:tcPr>
          <w:tcW w:w="5122" w:type="dxa"/>
          <w:tcBorders>
            <w:bottom w:val="single" w:sz="8" w:space="0" w:color="000000"/>
            <w:right w:val="single" w:sz="8" w:space="0" w:color="000000"/>
          </w:tcBorders>
          <w:tcMar>
            <w:top w:w="100" w:type="dxa"/>
            <w:left w:w="100" w:type="dxa"/>
            <w:bottom w:w="100" w:type="dxa"/>
            <w:right w:w="100" w:type="dxa"/>
          </w:tcMar>
        </w:tcPr>
        <w:p w14:paraId="03823EA3" w14:textId="5676015F" w:rsidR="00F46F14" w:rsidRDefault="00C3734A">
          <w:pPr>
            <w:spacing w:after="0"/>
            <w:ind w:right="560"/>
          </w:pPr>
          <w:r>
            <w:t>Revised By:</w:t>
          </w:r>
          <w:r w:rsidR="003D2679">
            <w:tab/>
          </w:r>
          <w:r w:rsidR="003D2679">
            <w:tab/>
          </w:r>
          <w:proofErr w:type="spellStart"/>
          <w:r>
            <w:t>MDaskis</w:t>
          </w:r>
          <w:proofErr w:type="spellEnd"/>
        </w:p>
        <w:p w14:paraId="36A99FA6" w14:textId="360F5845" w:rsidR="00F46F14" w:rsidRDefault="00C3734A">
          <w:pPr>
            <w:spacing w:after="0"/>
            <w:ind w:right="580"/>
          </w:pPr>
          <w:r>
            <w:t>Approved By:</w:t>
          </w:r>
          <w:r w:rsidR="003D2679">
            <w:tab/>
          </w:r>
          <w:r w:rsidR="003D2679">
            <w:tab/>
          </w:r>
          <w:proofErr w:type="spellStart"/>
          <w:r>
            <w:t>NRoss</w:t>
          </w:r>
          <w:proofErr w:type="spellEnd"/>
        </w:p>
        <w:p w14:paraId="245E7222" w14:textId="475757B3" w:rsidR="00F46F14" w:rsidRDefault="00C3734A">
          <w:pPr>
            <w:spacing w:after="0"/>
            <w:ind w:right="560"/>
          </w:pPr>
          <w:r>
            <w:t>Reason for Revision:</w:t>
          </w:r>
          <w:r w:rsidR="003D2679">
            <w:tab/>
          </w:r>
          <w:r>
            <w:t xml:space="preserve">New </w:t>
          </w:r>
        </w:p>
      </w:tc>
    </w:tr>
  </w:tbl>
  <w:p w14:paraId="6B9551FF" w14:textId="77777777" w:rsidR="00F46F14" w:rsidRDefault="00F46F14" w:rsidP="003D26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93C9" w14:textId="77777777" w:rsidR="00F46F14" w:rsidRDefault="00F46F1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00DD4"/>
    <w:multiLevelType w:val="multilevel"/>
    <w:tmpl w:val="501CB446"/>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num w:numId="1" w16cid:durableId="1040667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F14"/>
    <w:rsid w:val="003D2679"/>
    <w:rsid w:val="00951DA8"/>
    <w:rsid w:val="00C3734A"/>
    <w:rsid w:val="00F46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9B5E"/>
  <w15:docId w15:val="{E939B160-CC7A-4CD5-8524-DC97B6A0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A5E"/>
    <w:pPr>
      <w:ind w:firstLine="270"/>
      <w:outlineLvl w:val="0"/>
    </w:pPr>
    <w:rPr>
      <w:rFonts w:ascii="Arial" w:hAnsi="Arial" w:cs="Arial"/>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71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1C0"/>
  </w:style>
  <w:style w:type="paragraph" w:styleId="Footer">
    <w:name w:val="footer"/>
    <w:basedOn w:val="Normal"/>
    <w:link w:val="FooterChar"/>
    <w:uiPriority w:val="99"/>
    <w:unhideWhenUsed/>
    <w:rsid w:val="00D71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1C0"/>
  </w:style>
  <w:style w:type="paragraph" w:styleId="ListParagraph">
    <w:name w:val="List Paragraph"/>
    <w:basedOn w:val="Normal"/>
    <w:uiPriority w:val="34"/>
    <w:qFormat/>
    <w:rsid w:val="00780BA8"/>
    <w:pPr>
      <w:ind w:left="720"/>
      <w:contextualSpacing/>
    </w:pPr>
  </w:style>
  <w:style w:type="character" w:customStyle="1" w:styleId="Heading1Char">
    <w:name w:val="Heading 1 Char"/>
    <w:basedOn w:val="DefaultParagraphFont"/>
    <w:link w:val="Heading1"/>
    <w:uiPriority w:val="9"/>
    <w:rsid w:val="00883A5E"/>
    <w:rPr>
      <w:rFonts w:ascii="Arial" w:hAnsi="Arial" w:cs="Arial"/>
      <w:b/>
      <w:bCs/>
      <w:sz w:val="24"/>
      <w:szCs w:val="24"/>
    </w:rPr>
  </w:style>
  <w:style w:type="paragraph" w:styleId="BodyText">
    <w:name w:val="Body Text"/>
    <w:basedOn w:val="Normal"/>
    <w:link w:val="BodyTextChar"/>
    <w:uiPriority w:val="1"/>
    <w:qFormat/>
    <w:rsid w:val="00AD5720"/>
    <w:pPr>
      <w:widowControl w:val="0"/>
      <w:autoSpaceDE w:val="0"/>
      <w:autoSpaceDN w:val="0"/>
      <w:adjustRightInd w:val="0"/>
      <w:spacing w:after="0" w:line="360" w:lineRule="auto"/>
      <w:ind w:left="115"/>
    </w:pPr>
    <w:rPr>
      <w:rFonts w:ascii="Arial" w:eastAsiaTheme="minorEastAsia" w:hAnsi="Arial" w:cs="Arial"/>
      <w:sz w:val="20"/>
      <w:szCs w:val="20"/>
      <w:lang w:eastAsia="ja-JP"/>
    </w:rPr>
  </w:style>
  <w:style w:type="character" w:customStyle="1" w:styleId="BodyTextChar">
    <w:name w:val="Body Text Char"/>
    <w:basedOn w:val="DefaultParagraphFont"/>
    <w:link w:val="BodyText"/>
    <w:uiPriority w:val="1"/>
    <w:rsid w:val="00AD5720"/>
    <w:rPr>
      <w:rFonts w:ascii="Arial" w:eastAsiaTheme="minorEastAsia" w:hAnsi="Arial" w:cs="Arial"/>
      <w:sz w:val="20"/>
      <w:szCs w:val="20"/>
      <w:lang w:eastAsia="ja-JP"/>
    </w:rPr>
  </w:style>
  <w:style w:type="paragraph" w:customStyle="1" w:styleId="TableParagraph">
    <w:name w:val="Table Paragraph"/>
    <w:basedOn w:val="Normal"/>
    <w:uiPriority w:val="1"/>
    <w:qFormat/>
    <w:rsid w:val="00AD5720"/>
    <w:pPr>
      <w:widowControl w:val="0"/>
      <w:autoSpaceDE w:val="0"/>
      <w:autoSpaceDN w:val="0"/>
      <w:adjustRightInd w:val="0"/>
      <w:spacing w:after="0" w:line="240" w:lineRule="auto"/>
      <w:ind w:left="488"/>
    </w:pPr>
    <w:rPr>
      <w:rFonts w:eastAsiaTheme="minorEastAsia"/>
      <w:sz w:val="24"/>
      <w:szCs w:val="24"/>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lXaXkiVdZ8Ck9InnuEGH4wxubg==">AMUW2mXyRGLaz1u9RSXjqBAmy/r1/+GxpNse8ROkKG6LOybZmb1i55ouzftVI4MbWy1xtpzoEurn0ZlMSIeMpD2AGL8rsCmVUKj7o64kw/Uc+Z3Gaafi6fE=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Daskis</dc:creator>
  <cp:lastModifiedBy>Ross Food Consulting</cp:lastModifiedBy>
  <cp:revision>2</cp:revision>
  <dcterms:created xsi:type="dcterms:W3CDTF">2022-09-20T17:50:00Z</dcterms:created>
  <dcterms:modified xsi:type="dcterms:W3CDTF">2022-09-20T17:50:00Z</dcterms:modified>
</cp:coreProperties>
</file>