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35"/>
      </w:tblGrid>
      <w:tr w:rsidR="00FE41BB" w:rsidRPr="00CE47AD" w14:paraId="59FF07CB" w14:textId="77777777" w:rsidTr="001B1B7B">
        <w:trPr>
          <w:trHeight w:val="1131"/>
          <w:jc w:val="center"/>
        </w:trPr>
        <w:tc>
          <w:tcPr>
            <w:tcW w:w="4518" w:type="dxa"/>
          </w:tcPr>
          <w:p w14:paraId="7473D1E5" w14:textId="77777777" w:rsidR="00FE41BB" w:rsidRDefault="00FE41BB" w:rsidP="001B1B7B">
            <w:pPr>
              <w:pStyle w:val="BodyText2"/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</w:p>
          <w:p w14:paraId="1A483674" w14:textId="33A1435D" w:rsidR="00FE41BB" w:rsidRPr="00C23570" w:rsidRDefault="00FE41BB" w:rsidP="00A04910">
            <w:pPr>
              <w:tabs>
                <w:tab w:val="left" w:pos="3084"/>
                <w:tab w:val="right" w:pos="4441"/>
              </w:tabs>
              <w:ind w:left="142"/>
            </w:pPr>
            <w:r>
              <w:rPr>
                <w:noProof/>
              </w:rPr>
              <w:drawing>
                <wp:inline distT="0" distB="0" distL="0" distR="0" wp14:anchorId="3F5D2C28" wp14:editId="6A60A53E">
                  <wp:extent cx="1516380" cy="5486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A04910">
              <w:tab/>
            </w:r>
          </w:p>
        </w:tc>
        <w:tc>
          <w:tcPr>
            <w:tcW w:w="4788" w:type="dxa"/>
          </w:tcPr>
          <w:p w14:paraId="2BD422A3" w14:textId="5368A478" w:rsidR="00FE41BB" w:rsidRPr="00094752" w:rsidRDefault="00FE41BB" w:rsidP="008E34BB">
            <w:pPr>
              <w:tabs>
                <w:tab w:val="left" w:pos="202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</w:pP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Document No.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ab/>
            </w: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HUB.</w:t>
            </w:r>
            <w:r w:rsidR="00023CFB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HP</w:t>
            </w: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.REC.</w:t>
            </w:r>
            <w:r w:rsidR="00C42A7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1</w:t>
            </w:r>
            <w:r w:rsidR="001514A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15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 xml:space="preserve"> </w:t>
            </w:r>
          </w:p>
          <w:p w14:paraId="04418FF9" w14:textId="77777777" w:rsidR="00FE41BB" w:rsidRPr="00C23570" w:rsidRDefault="00FE41BB" w:rsidP="001B1B7B">
            <w:pPr>
              <w:tabs>
                <w:tab w:val="left" w:pos="2020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Effective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01-June 2022  </w:t>
            </w:r>
          </w:p>
          <w:p w14:paraId="623D053E" w14:textId="77777777" w:rsidR="00FE41BB" w:rsidRPr="00CE47AD" w:rsidRDefault="00FE41BB" w:rsidP="001B1B7B">
            <w:pPr>
              <w:pStyle w:val="BodyText2"/>
              <w:tabs>
                <w:tab w:val="left" w:pos="2040"/>
              </w:tabs>
              <w:spacing w:after="0" w:line="276" w:lineRule="auto"/>
              <w:ind w:left="88"/>
              <w:rPr>
                <w:color w:val="00000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  <w:tr w:rsidR="00FE41BB" w:rsidRPr="00CE47AD" w14:paraId="1E222C1F" w14:textId="77777777" w:rsidTr="002E62A5">
        <w:trPr>
          <w:trHeight w:val="1007"/>
          <w:jc w:val="center"/>
        </w:trPr>
        <w:tc>
          <w:tcPr>
            <w:tcW w:w="4518" w:type="dxa"/>
            <w:vAlign w:val="center"/>
          </w:tcPr>
          <w:p w14:paraId="13359D00" w14:textId="54163DFE" w:rsidR="00FE41BB" w:rsidRPr="003118B6" w:rsidRDefault="00ED2420" w:rsidP="003118B6">
            <w:pPr>
              <w:pStyle w:val="BodyText2"/>
              <w:spacing w:after="0" w:line="240" w:lineRule="auto"/>
              <w:ind w:left="14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Outside Lab Chain of Custody and Report</w:t>
            </w:r>
          </w:p>
        </w:tc>
        <w:tc>
          <w:tcPr>
            <w:tcW w:w="4788" w:type="dxa"/>
          </w:tcPr>
          <w:p w14:paraId="1EE1FF66" w14:textId="77777777" w:rsidR="00FE41BB" w:rsidRPr="00D16B81" w:rsidRDefault="00FE41BB" w:rsidP="002E62A5">
            <w:pPr>
              <w:tabs>
                <w:tab w:val="left" w:pos="204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MDaskis</w:t>
            </w:r>
          </w:p>
          <w:p w14:paraId="5F0FB316" w14:textId="77777777" w:rsidR="00FE41BB" w:rsidRPr="00D16B81" w:rsidRDefault="00FE41BB" w:rsidP="001B1B7B">
            <w:pPr>
              <w:tabs>
                <w:tab w:val="left" w:pos="2046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NRoss</w:t>
            </w:r>
          </w:p>
          <w:p w14:paraId="78563452" w14:textId="77777777" w:rsidR="00FE41BB" w:rsidRPr="00CE47AD" w:rsidRDefault="00FE41BB" w:rsidP="001B1B7B">
            <w:pPr>
              <w:pStyle w:val="BodyText2"/>
              <w:tabs>
                <w:tab w:val="left" w:pos="2046"/>
              </w:tabs>
              <w:spacing w:after="0" w:line="240" w:lineRule="auto"/>
              <w:ind w:left="88"/>
              <w:rPr>
                <w:color w:val="00000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Reason for Revision: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</w:tbl>
    <w:p w14:paraId="7AE49DF0" w14:textId="2F8BFA79" w:rsidR="006C47FE" w:rsidRPr="00D53A79" w:rsidRDefault="006C47FE" w:rsidP="00D53A79">
      <w:pPr>
        <w:spacing w:line="276" w:lineRule="auto"/>
        <w:rPr>
          <w:rFonts w:ascii="Arial" w:hAnsi="Arial" w:cs="Arial"/>
        </w:rPr>
      </w:pPr>
    </w:p>
    <w:p w14:paraId="0B998A69" w14:textId="0A1D7417" w:rsidR="00615E72" w:rsidRPr="00D53A79" w:rsidRDefault="00615E72" w:rsidP="00D53A79">
      <w:pPr>
        <w:spacing w:line="276" w:lineRule="auto"/>
        <w:rPr>
          <w:rFonts w:ascii="Arial" w:hAnsi="Arial" w:cs="Arial"/>
        </w:rPr>
      </w:pPr>
    </w:p>
    <w:p w14:paraId="129A833C" w14:textId="0EF239E0" w:rsidR="00437601" w:rsidRPr="00D53A79" w:rsidRDefault="006D1AE6" w:rsidP="00D53A79">
      <w:pPr>
        <w:spacing w:line="276" w:lineRule="auto"/>
        <w:rPr>
          <w:rFonts w:ascii="Arial" w:hAnsi="Arial" w:cs="Arial"/>
        </w:rPr>
      </w:pPr>
      <w:r w:rsidRPr="00D53A79">
        <w:rPr>
          <w:rFonts w:ascii="Arial" w:hAnsi="Arial" w:cs="Arial"/>
        </w:rPr>
        <w:t xml:space="preserve">It is likely the HUB will use an outside laboratory for product testing.  </w:t>
      </w:r>
      <w:r w:rsidR="003C4EAB" w:rsidRPr="00D53A79">
        <w:rPr>
          <w:rFonts w:ascii="Arial" w:hAnsi="Arial" w:cs="Arial"/>
        </w:rPr>
        <w:t xml:space="preserve">A chain of custody form </w:t>
      </w:r>
      <w:r w:rsidR="002B655B" w:rsidRPr="00D53A79">
        <w:rPr>
          <w:rFonts w:ascii="Arial" w:hAnsi="Arial" w:cs="Arial"/>
        </w:rPr>
        <w:t xml:space="preserve">(COC) </w:t>
      </w:r>
      <w:r w:rsidR="003C4EAB" w:rsidRPr="00D53A79">
        <w:rPr>
          <w:rFonts w:ascii="Arial" w:hAnsi="Arial" w:cs="Arial"/>
        </w:rPr>
        <w:t xml:space="preserve">is completed by the HUB </w:t>
      </w:r>
      <w:r w:rsidR="004F240A" w:rsidRPr="00D53A79">
        <w:rPr>
          <w:rFonts w:ascii="Arial" w:hAnsi="Arial" w:cs="Arial"/>
        </w:rPr>
        <w:t xml:space="preserve">and submitted with the samples.  </w:t>
      </w:r>
      <w:r w:rsidR="00B07770" w:rsidRPr="00D53A79">
        <w:rPr>
          <w:rFonts w:ascii="Arial" w:hAnsi="Arial" w:cs="Arial"/>
        </w:rPr>
        <w:t>This provides a record of the samples</w:t>
      </w:r>
      <w:r w:rsidR="002B655B" w:rsidRPr="00D53A79">
        <w:rPr>
          <w:rFonts w:ascii="Arial" w:hAnsi="Arial" w:cs="Arial"/>
        </w:rPr>
        <w:t xml:space="preserve"> submitted</w:t>
      </w:r>
      <w:r w:rsidR="00B07770" w:rsidRPr="00D53A79">
        <w:rPr>
          <w:rFonts w:ascii="Arial" w:hAnsi="Arial" w:cs="Arial"/>
        </w:rPr>
        <w:t xml:space="preserve"> </w:t>
      </w:r>
      <w:r w:rsidR="0057286C" w:rsidRPr="00D53A79">
        <w:rPr>
          <w:rFonts w:ascii="Arial" w:hAnsi="Arial" w:cs="Arial"/>
        </w:rPr>
        <w:t>and</w:t>
      </w:r>
      <w:r w:rsidR="00B07770" w:rsidRPr="00D53A79">
        <w:rPr>
          <w:rFonts w:ascii="Arial" w:hAnsi="Arial" w:cs="Arial"/>
        </w:rPr>
        <w:t xml:space="preserve"> tests requested</w:t>
      </w:r>
      <w:r w:rsidR="002B655B" w:rsidRPr="00D53A79">
        <w:rPr>
          <w:rFonts w:ascii="Arial" w:hAnsi="Arial" w:cs="Arial"/>
        </w:rPr>
        <w:t xml:space="preserve">.  </w:t>
      </w:r>
      <w:r w:rsidR="00B07770" w:rsidRPr="00D53A79">
        <w:rPr>
          <w:rFonts w:ascii="Arial" w:hAnsi="Arial" w:cs="Arial"/>
        </w:rPr>
        <w:t xml:space="preserve"> </w:t>
      </w:r>
      <w:r w:rsidR="002B655B" w:rsidRPr="00D53A79">
        <w:rPr>
          <w:rFonts w:ascii="Arial" w:hAnsi="Arial" w:cs="Arial"/>
        </w:rPr>
        <w:t>The COC</w:t>
      </w:r>
      <w:r w:rsidR="004842A1" w:rsidRPr="00D53A79">
        <w:rPr>
          <w:rFonts w:ascii="Arial" w:hAnsi="Arial" w:cs="Arial"/>
        </w:rPr>
        <w:t xml:space="preserve"> </w:t>
      </w:r>
      <w:r w:rsidR="0057286C" w:rsidRPr="00D53A79">
        <w:rPr>
          <w:rFonts w:ascii="Arial" w:hAnsi="Arial" w:cs="Arial"/>
        </w:rPr>
        <w:t xml:space="preserve">can be linked to the </w:t>
      </w:r>
      <w:r w:rsidR="00437601" w:rsidRPr="00D53A79">
        <w:rPr>
          <w:rFonts w:ascii="Arial" w:hAnsi="Arial" w:cs="Arial"/>
        </w:rPr>
        <w:t xml:space="preserve">Certificate of Analysis </w:t>
      </w:r>
      <w:r w:rsidR="004842A1" w:rsidRPr="00D53A79">
        <w:rPr>
          <w:rFonts w:ascii="Arial" w:hAnsi="Arial" w:cs="Arial"/>
        </w:rPr>
        <w:t xml:space="preserve">(COA) </w:t>
      </w:r>
      <w:r w:rsidR="00437601" w:rsidRPr="00D53A79">
        <w:rPr>
          <w:rFonts w:ascii="Arial" w:hAnsi="Arial" w:cs="Arial"/>
        </w:rPr>
        <w:t xml:space="preserve">report that is received from the laboratory when the tests are complete.  </w:t>
      </w:r>
    </w:p>
    <w:p w14:paraId="1951488C" w14:textId="77777777" w:rsidR="00437601" w:rsidRPr="00D53A79" w:rsidRDefault="00437601" w:rsidP="00D53A79">
      <w:pPr>
        <w:spacing w:line="276" w:lineRule="auto"/>
        <w:rPr>
          <w:rFonts w:ascii="Arial" w:hAnsi="Arial" w:cs="Arial"/>
        </w:rPr>
      </w:pPr>
    </w:p>
    <w:p w14:paraId="2B1116FC" w14:textId="77777777" w:rsidR="006749DF" w:rsidRPr="00D53A79" w:rsidRDefault="00437601" w:rsidP="00D53A79">
      <w:pPr>
        <w:spacing w:line="276" w:lineRule="auto"/>
        <w:rPr>
          <w:rFonts w:ascii="Arial" w:hAnsi="Arial" w:cs="Arial"/>
        </w:rPr>
      </w:pPr>
      <w:r w:rsidRPr="00D53A79">
        <w:rPr>
          <w:rFonts w:ascii="Arial" w:hAnsi="Arial" w:cs="Arial"/>
        </w:rPr>
        <w:t xml:space="preserve">Chain of Custody forms are provided by the </w:t>
      </w:r>
      <w:r w:rsidR="006749DF" w:rsidRPr="00D53A79">
        <w:rPr>
          <w:rFonts w:ascii="Arial" w:hAnsi="Arial" w:cs="Arial"/>
        </w:rPr>
        <w:t xml:space="preserve">laboratory and are usually </w:t>
      </w:r>
      <w:r w:rsidRPr="00D53A79">
        <w:rPr>
          <w:rFonts w:ascii="Arial" w:hAnsi="Arial" w:cs="Arial"/>
        </w:rPr>
        <w:t xml:space="preserve">available </w:t>
      </w:r>
      <w:r w:rsidR="006749DF" w:rsidRPr="00D53A79">
        <w:rPr>
          <w:rFonts w:ascii="Arial" w:hAnsi="Arial" w:cs="Arial"/>
        </w:rPr>
        <w:t xml:space="preserve">for download from the laboratory company website.  </w:t>
      </w:r>
    </w:p>
    <w:p w14:paraId="53A3A29B" w14:textId="77777777" w:rsidR="006749DF" w:rsidRPr="00D53A79" w:rsidRDefault="006749DF" w:rsidP="00D53A79">
      <w:pPr>
        <w:spacing w:line="276" w:lineRule="auto"/>
        <w:rPr>
          <w:rFonts w:ascii="Arial" w:hAnsi="Arial" w:cs="Arial"/>
        </w:rPr>
      </w:pPr>
    </w:p>
    <w:p w14:paraId="1C462938" w14:textId="148C3FD5" w:rsidR="004707F9" w:rsidRPr="00D53A79" w:rsidRDefault="004707F9" w:rsidP="00D53A79">
      <w:pPr>
        <w:spacing w:line="276" w:lineRule="auto"/>
        <w:rPr>
          <w:rFonts w:ascii="Arial" w:hAnsi="Arial" w:cs="Arial"/>
        </w:rPr>
      </w:pPr>
      <w:r w:rsidRPr="00D53A79">
        <w:rPr>
          <w:rFonts w:ascii="Arial" w:hAnsi="Arial" w:cs="Arial"/>
        </w:rPr>
        <w:t xml:space="preserve">The information on the chain of </w:t>
      </w:r>
      <w:r w:rsidR="00497A5C" w:rsidRPr="00D53A79">
        <w:rPr>
          <w:rFonts w:ascii="Arial" w:hAnsi="Arial" w:cs="Arial"/>
        </w:rPr>
        <w:t>custody</w:t>
      </w:r>
      <w:r w:rsidRPr="00D53A79">
        <w:rPr>
          <w:rFonts w:ascii="Arial" w:hAnsi="Arial" w:cs="Arial"/>
        </w:rPr>
        <w:t xml:space="preserve"> form generally includes the </w:t>
      </w:r>
      <w:r w:rsidR="00497A5C" w:rsidRPr="00D53A79">
        <w:rPr>
          <w:rFonts w:ascii="Arial" w:hAnsi="Arial" w:cs="Arial"/>
        </w:rPr>
        <w:t>following.</w:t>
      </w:r>
    </w:p>
    <w:p w14:paraId="72C6E444" w14:textId="656268B6" w:rsidR="00497A5C" w:rsidRPr="00500593" w:rsidRDefault="00497A5C" w:rsidP="0050059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00593">
        <w:rPr>
          <w:rFonts w:ascii="Arial" w:hAnsi="Arial" w:cs="Arial"/>
        </w:rPr>
        <w:t xml:space="preserve">HUB </w:t>
      </w:r>
      <w:r w:rsidR="00376BE3" w:rsidRPr="00500593">
        <w:rPr>
          <w:rFonts w:ascii="Arial" w:hAnsi="Arial" w:cs="Arial"/>
        </w:rPr>
        <w:t>Information</w:t>
      </w:r>
      <w:r w:rsidR="00264E9F">
        <w:rPr>
          <w:rFonts w:ascii="Arial" w:hAnsi="Arial" w:cs="Arial"/>
        </w:rPr>
        <w:t xml:space="preserve">:  </w:t>
      </w:r>
      <w:r w:rsidR="00376BE3" w:rsidRPr="00500593">
        <w:rPr>
          <w:rFonts w:ascii="Arial" w:hAnsi="Arial" w:cs="Arial"/>
        </w:rPr>
        <w:t xml:space="preserve">Address, phone and email contact and name of person to whom the results should be sent.  </w:t>
      </w:r>
    </w:p>
    <w:p w14:paraId="504C4007" w14:textId="3469B0DF" w:rsidR="00E11113" w:rsidRPr="00264E9F" w:rsidRDefault="00E11113" w:rsidP="0050059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64E9F">
        <w:rPr>
          <w:rFonts w:ascii="Arial" w:hAnsi="Arial" w:cs="Arial"/>
        </w:rPr>
        <w:t xml:space="preserve">Sample Information </w:t>
      </w:r>
      <w:r w:rsidR="00D61731" w:rsidRPr="00264E9F">
        <w:rPr>
          <w:rFonts w:ascii="Arial" w:hAnsi="Arial" w:cs="Arial"/>
        </w:rPr>
        <w:t>–</w:t>
      </w:r>
      <w:r w:rsidRPr="00264E9F">
        <w:rPr>
          <w:rFonts w:ascii="Arial" w:hAnsi="Arial" w:cs="Arial"/>
        </w:rPr>
        <w:t xml:space="preserve"> </w:t>
      </w:r>
      <w:r w:rsidR="000D6C46" w:rsidRPr="00264E9F">
        <w:rPr>
          <w:rFonts w:ascii="Arial" w:hAnsi="Arial" w:cs="Arial"/>
        </w:rPr>
        <w:t>Sample description (name, flavour, packaging format etc)</w:t>
      </w:r>
      <w:r w:rsidR="001D2699" w:rsidRPr="00264E9F">
        <w:rPr>
          <w:rFonts w:ascii="Arial" w:hAnsi="Arial" w:cs="Arial"/>
        </w:rPr>
        <w:t>.</w:t>
      </w:r>
      <w:r w:rsidR="00264E9F">
        <w:rPr>
          <w:rFonts w:ascii="Arial" w:hAnsi="Arial" w:cs="Arial"/>
        </w:rPr>
        <w:t xml:space="preserve"> </w:t>
      </w:r>
      <w:r w:rsidR="00D61731" w:rsidRPr="00264E9F">
        <w:rPr>
          <w:rFonts w:ascii="Arial" w:hAnsi="Arial" w:cs="Arial"/>
        </w:rPr>
        <w:t xml:space="preserve">List of samples including identifier such as date made or lot </w:t>
      </w:r>
      <w:r w:rsidR="005748F6" w:rsidRPr="00264E9F">
        <w:rPr>
          <w:rFonts w:ascii="Arial" w:hAnsi="Arial" w:cs="Arial"/>
        </w:rPr>
        <w:t>code.</w:t>
      </w:r>
    </w:p>
    <w:p w14:paraId="3005C084" w14:textId="707FE46E" w:rsidR="00D2352A" w:rsidRPr="00500593" w:rsidRDefault="005748F6" w:rsidP="0050059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00593">
        <w:rPr>
          <w:rFonts w:ascii="Arial" w:hAnsi="Arial" w:cs="Arial"/>
        </w:rPr>
        <w:t xml:space="preserve">List of tests required – The laboratory will assist you </w:t>
      </w:r>
      <w:r w:rsidR="00264E9F" w:rsidRPr="00500593">
        <w:rPr>
          <w:rFonts w:ascii="Arial" w:hAnsi="Arial" w:cs="Arial"/>
        </w:rPr>
        <w:t>to determine</w:t>
      </w:r>
      <w:r w:rsidRPr="00500593">
        <w:rPr>
          <w:rFonts w:ascii="Arial" w:hAnsi="Arial" w:cs="Arial"/>
        </w:rPr>
        <w:t xml:space="preserve"> the tests </w:t>
      </w:r>
      <w:r w:rsidR="00DE4917" w:rsidRPr="00500593">
        <w:rPr>
          <w:rFonts w:ascii="Arial" w:hAnsi="Arial" w:cs="Arial"/>
        </w:rPr>
        <w:t>needed.  The</w:t>
      </w:r>
      <w:r w:rsidR="000D5C36" w:rsidRPr="00500593">
        <w:rPr>
          <w:rFonts w:ascii="Arial" w:hAnsi="Arial" w:cs="Arial"/>
        </w:rPr>
        <w:t xml:space="preserve">y will explain the different methods </w:t>
      </w:r>
      <w:r w:rsidR="00C410C3" w:rsidRPr="00500593">
        <w:rPr>
          <w:rFonts w:ascii="Arial" w:hAnsi="Arial" w:cs="Arial"/>
        </w:rPr>
        <w:t xml:space="preserve">available and help establish </w:t>
      </w:r>
      <w:r w:rsidR="00D2352A" w:rsidRPr="00500593">
        <w:rPr>
          <w:rFonts w:ascii="Arial" w:hAnsi="Arial" w:cs="Arial"/>
        </w:rPr>
        <w:t xml:space="preserve">samples needed.  This is particularly useful when evaluating </w:t>
      </w:r>
      <w:r w:rsidR="00475D5B" w:rsidRPr="00500593">
        <w:rPr>
          <w:rFonts w:ascii="Arial" w:hAnsi="Arial" w:cs="Arial"/>
        </w:rPr>
        <w:t>the shelf</w:t>
      </w:r>
      <w:r w:rsidR="00D2352A" w:rsidRPr="00500593">
        <w:rPr>
          <w:rFonts w:ascii="Arial" w:hAnsi="Arial" w:cs="Arial"/>
        </w:rPr>
        <w:t xml:space="preserve"> life of products.  </w:t>
      </w:r>
    </w:p>
    <w:p w14:paraId="311729E3" w14:textId="77777777" w:rsidR="00FB537A" w:rsidRDefault="00FB537A" w:rsidP="00D53A79">
      <w:pPr>
        <w:spacing w:line="276" w:lineRule="auto"/>
        <w:rPr>
          <w:rFonts w:ascii="Arial" w:hAnsi="Arial" w:cs="Arial"/>
        </w:rPr>
      </w:pPr>
    </w:p>
    <w:p w14:paraId="20BE95E7" w14:textId="310B7A23" w:rsidR="004B2E24" w:rsidRDefault="00CA79A3" w:rsidP="004B2E24">
      <w:pPr>
        <w:spacing w:line="276" w:lineRule="auto"/>
        <w:rPr>
          <w:rFonts w:ascii="Arial" w:hAnsi="Arial" w:cs="Arial"/>
        </w:rPr>
      </w:pPr>
      <w:r w:rsidRPr="00297E5C">
        <w:rPr>
          <w:rFonts w:ascii="Arial" w:hAnsi="Arial" w:cs="Arial"/>
        </w:rPr>
        <w:t xml:space="preserve">Samples </w:t>
      </w:r>
      <w:r w:rsidR="00980CE0">
        <w:rPr>
          <w:rFonts w:ascii="Arial" w:hAnsi="Arial" w:cs="Arial"/>
        </w:rPr>
        <w:t xml:space="preserve">must be received in good condition at the laboratory.  </w:t>
      </w:r>
      <w:r w:rsidR="004B2E24">
        <w:rPr>
          <w:rFonts w:ascii="Arial" w:hAnsi="Arial" w:cs="Arial"/>
        </w:rPr>
        <w:t xml:space="preserve">Use a </w:t>
      </w:r>
      <w:r w:rsidR="004B2E24" w:rsidRPr="00297E5C">
        <w:rPr>
          <w:rFonts w:ascii="Arial" w:hAnsi="Arial" w:cs="Arial"/>
        </w:rPr>
        <w:t xml:space="preserve">cooler with ice packs to keep </w:t>
      </w:r>
      <w:r w:rsidR="00C53908" w:rsidRPr="00297E5C">
        <w:rPr>
          <w:rFonts w:ascii="Arial" w:hAnsi="Arial" w:cs="Arial"/>
        </w:rPr>
        <w:t>the temperature</w:t>
      </w:r>
      <w:r w:rsidR="004B2E24" w:rsidRPr="00297E5C">
        <w:rPr>
          <w:rFonts w:ascii="Arial" w:hAnsi="Arial" w:cs="Arial"/>
        </w:rPr>
        <w:t xml:space="preserve"> below 10</w:t>
      </w:r>
      <w:r w:rsidR="004B2E24">
        <w:rPr>
          <w:rFonts w:ascii="Arial" w:hAnsi="Arial" w:cs="Arial"/>
        </w:rPr>
        <w:t>°</w:t>
      </w:r>
      <w:r w:rsidR="004B2E24" w:rsidRPr="00297E5C">
        <w:rPr>
          <w:rFonts w:ascii="Arial" w:hAnsi="Arial" w:cs="Arial"/>
        </w:rPr>
        <w:t>C</w:t>
      </w:r>
      <w:r w:rsidR="00500593">
        <w:rPr>
          <w:rFonts w:ascii="Arial" w:hAnsi="Arial" w:cs="Arial"/>
        </w:rPr>
        <w:t xml:space="preserve">.  </w:t>
      </w:r>
    </w:p>
    <w:p w14:paraId="4A8977F0" w14:textId="77777777" w:rsidR="004B2E24" w:rsidRPr="00D53A79" w:rsidRDefault="004B2E24" w:rsidP="004B2E24">
      <w:pPr>
        <w:spacing w:line="276" w:lineRule="auto"/>
        <w:rPr>
          <w:rFonts w:ascii="Arial" w:hAnsi="Arial" w:cs="Arial"/>
        </w:rPr>
      </w:pPr>
    </w:p>
    <w:p w14:paraId="27208BB5" w14:textId="7201ABED" w:rsidR="00FB537A" w:rsidRDefault="00D53A79" w:rsidP="00D53A79">
      <w:pPr>
        <w:pStyle w:val="Heading2"/>
      </w:pPr>
      <w:r w:rsidRPr="0064651B">
        <w:t>Related Documents</w:t>
      </w:r>
    </w:p>
    <w:p w14:paraId="569B2CA3" w14:textId="3583EC39" w:rsidR="00FB537A" w:rsidRDefault="00C02576" w:rsidP="00297E5C">
      <w:pPr>
        <w:spacing w:line="276" w:lineRule="auto"/>
        <w:rPr>
          <w:rFonts w:ascii="Arial" w:hAnsi="Arial" w:cs="Arial"/>
        </w:rPr>
      </w:pPr>
      <w:r w:rsidRPr="00C02576">
        <w:rPr>
          <w:rFonts w:ascii="Arial" w:hAnsi="Arial" w:cs="Arial"/>
        </w:rPr>
        <w:t>HUB.PRE.SOP.2</w:t>
      </w:r>
      <w:r w:rsidRPr="00C02576">
        <w:rPr>
          <w:rFonts w:ascii="Arial" w:hAnsi="Arial" w:cs="Arial"/>
        </w:rPr>
        <w:tab/>
        <w:t>Water Testing SOP</w:t>
      </w:r>
    </w:p>
    <w:p w14:paraId="1BF37BC8" w14:textId="0E9F7514" w:rsidR="00645B50" w:rsidRDefault="00645B50" w:rsidP="00297E5C">
      <w:pPr>
        <w:spacing w:line="276" w:lineRule="auto"/>
        <w:rPr>
          <w:rFonts w:ascii="Arial" w:hAnsi="Arial" w:cs="Arial"/>
        </w:rPr>
      </w:pPr>
      <w:r w:rsidRPr="00645B50">
        <w:rPr>
          <w:rFonts w:ascii="Arial" w:hAnsi="Arial" w:cs="Arial"/>
        </w:rPr>
        <w:t>HUB.PRE.REF.11</w:t>
      </w:r>
      <w:r w:rsidRPr="00645B50">
        <w:rPr>
          <w:rFonts w:ascii="Arial" w:hAnsi="Arial" w:cs="Arial"/>
        </w:rPr>
        <w:tab/>
        <w:t>Water Sampling Method</w:t>
      </w:r>
    </w:p>
    <w:sectPr w:rsidR="00645B50" w:rsidSect="00560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1A25" w14:textId="77777777" w:rsidR="00DB02E8" w:rsidRDefault="00DB02E8" w:rsidP="00494F4F">
      <w:r>
        <w:separator/>
      </w:r>
    </w:p>
  </w:endnote>
  <w:endnote w:type="continuationSeparator" w:id="0">
    <w:p w14:paraId="4A35A935" w14:textId="77777777" w:rsidR="00DB02E8" w:rsidRDefault="00DB02E8" w:rsidP="004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A904" w14:textId="77777777" w:rsidR="00F87B7D" w:rsidRDefault="00F87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C8F" w14:textId="19384906" w:rsidR="00494F4F" w:rsidRPr="00F87B7D" w:rsidRDefault="00494F4F" w:rsidP="00F87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73E8" w14:textId="77777777" w:rsidR="00F87B7D" w:rsidRDefault="00F87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05AC" w14:textId="77777777" w:rsidR="00DB02E8" w:rsidRDefault="00DB02E8" w:rsidP="00494F4F">
      <w:r>
        <w:separator/>
      </w:r>
    </w:p>
  </w:footnote>
  <w:footnote w:type="continuationSeparator" w:id="0">
    <w:p w14:paraId="6FEB180F" w14:textId="77777777" w:rsidR="00DB02E8" w:rsidRDefault="00DB02E8" w:rsidP="0049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AC7" w14:textId="77777777" w:rsidR="00F87B7D" w:rsidRDefault="00F87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F6D9" w14:textId="77777777" w:rsidR="00F87B7D" w:rsidRDefault="00F87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12C" w14:textId="77777777" w:rsidR="00F87B7D" w:rsidRDefault="00F87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AE8"/>
    <w:multiLevelType w:val="hybridMultilevel"/>
    <w:tmpl w:val="CAA2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BB"/>
    <w:rsid w:val="00023CFB"/>
    <w:rsid w:val="000D5C36"/>
    <w:rsid w:val="000D6C46"/>
    <w:rsid w:val="000F5774"/>
    <w:rsid w:val="00147845"/>
    <w:rsid w:val="001514A4"/>
    <w:rsid w:val="001A64D0"/>
    <w:rsid w:val="001D2699"/>
    <w:rsid w:val="00264E9F"/>
    <w:rsid w:val="00297E5C"/>
    <w:rsid w:val="002B655B"/>
    <w:rsid w:val="002E62A5"/>
    <w:rsid w:val="003118B6"/>
    <w:rsid w:val="00376BE3"/>
    <w:rsid w:val="003965B5"/>
    <w:rsid w:val="003C4EAB"/>
    <w:rsid w:val="00437601"/>
    <w:rsid w:val="004707F9"/>
    <w:rsid w:val="00475D5B"/>
    <w:rsid w:val="004842A1"/>
    <w:rsid w:val="00494F4F"/>
    <w:rsid w:val="00497A5C"/>
    <w:rsid w:val="004B2E24"/>
    <w:rsid w:val="004D1886"/>
    <w:rsid w:val="004F240A"/>
    <w:rsid w:val="00500593"/>
    <w:rsid w:val="005067E8"/>
    <w:rsid w:val="005607DF"/>
    <w:rsid w:val="005639F9"/>
    <w:rsid w:val="0057286C"/>
    <w:rsid w:val="005748F6"/>
    <w:rsid w:val="00615E72"/>
    <w:rsid w:val="00645B50"/>
    <w:rsid w:val="00671479"/>
    <w:rsid w:val="006749DF"/>
    <w:rsid w:val="006B0D8E"/>
    <w:rsid w:val="006C47FE"/>
    <w:rsid w:val="006D1AE6"/>
    <w:rsid w:val="007C68AB"/>
    <w:rsid w:val="0080621B"/>
    <w:rsid w:val="00842E07"/>
    <w:rsid w:val="008E34BB"/>
    <w:rsid w:val="008F6224"/>
    <w:rsid w:val="00921722"/>
    <w:rsid w:val="00927752"/>
    <w:rsid w:val="00980CE0"/>
    <w:rsid w:val="00A04910"/>
    <w:rsid w:val="00A830B9"/>
    <w:rsid w:val="00AF7D39"/>
    <w:rsid w:val="00B07770"/>
    <w:rsid w:val="00C02576"/>
    <w:rsid w:val="00C04093"/>
    <w:rsid w:val="00C410C3"/>
    <w:rsid w:val="00C42A78"/>
    <w:rsid w:val="00C53908"/>
    <w:rsid w:val="00CA79A3"/>
    <w:rsid w:val="00D164CB"/>
    <w:rsid w:val="00D2352A"/>
    <w:rsid w:val="00D53A79"/>
    <w:rsid w:val="00D61731"/>
    <w:rsid w:val="00DB02E8"/>
    <w:rsid w:val="00DB7895"/>
    <w:rsid w:val="00DE4917"/>
    <w:rsid w:val="00E11113"/>
    <w:rsid w:val="00E34152"/>
    <w:rsid w:val="00E7484A"/>
    <w:rsid w:val="00ED2420"/>
    <w:rsid w:val="00F73A3B"/>
    <w:rsid w:val="00F87B7D"/>
    <w:rsid w:val="00FB537A"/>
    <w:rsid w:val="00FE0A4D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0C66"/>
  <w15:chartTrackingRefBased/>
  <w15:docId w15:val="{1553DF0F-8B9D-44B5-9D14-81381477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53A79"/>
    <w:pPr>
      <w:widowControl w:val="0"/>
      <w:autoSpaceDE w:val="0"/>
      <w:autoSpaceDN w:val="0"/>
      <w:adjustRightInd w:val="0"/>
      <w:spacing w:after="240"/>
      <w:outlineLvl w:val="1"/>
    </w:pPr>
    <w:rPr>
      <w:rFonts w:ascii="Arial" w:eastAsiaTheme="minorEastAsia" w:hAnsi="Arial" w:cs="Arial"/>
      <w:b/>
      <w:b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E4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41B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C47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53A79"/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D53A79"/>
    <w:pPr>
      <w:widowControl w:val="0"/>
      <w:autoSpaceDE w:val="0"/>
      <w:autoSpaceDN w:val="0"/>
      <w:adjustRightInd w:val="0"/>
      <w:ind w:left="488"/>
    </w:pPr>
    <w:rPr>
      <w:rFonts w:ascii="Calibri" w:eastAsiaTheme="minorEastAsia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50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54</cp:revision>
  <cp:lastPrinted>2022-11-11T21:40:00Z</cp:lastPrinted>
  <dcterms:created xsi:type="dcterms:W3CDTF">2023-02-12T00:32:00Z</dcterms:created>
  <dcterms:modified xsi:type="dcterms:W3CDTF">2023-02-15T18:36:00Z</dcterms:modified>
</cp:coreProperties>
</file>