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F913" w14:textId="77777777" w:rsidR="00EE766B" w:rsidRPr="0064651B" w:rsidRDefault="00EE766B" w:rsidP="006524C0">
      <w:pPr>
        <w:pStyle w:val="Heading2"/>
      </w:pPr>
      <w:r w:rsidRPr="0064651B">
        <w:t xml:space="preserve">OBJECTIVE: </w:t>
      </w:r>
    </w:p>
    <w:p w14:paraId="47644715" w14:textId="22E93A48" w:rsidR="00EE766B" w:rsidRDefault="00EE766B" w:rsidP="00AE657C">
      <w:pPr>
        <w:pStyle w:val="BodyText"/>
        <w:kinsoku w:val="0"/>
        <w:overflowPunct w:val="0"/>
        <w:spacing w:before="0" w:line="276" w:lineRule="auto"/>
        <w:ind w:left="0" w:right="708"/>
        <w:jc w:val="both"/>
        <w:rPr>
          <w:spacing w:val="-8"/>
        </w:rPr>
      </w:pPr>
      <w:r w:rsidRPr="0064651B">
        <w:t>This</w:t>
      </w:r>
      <w:r w:rsidRPr="0064651B">
        <w:rPr>
          <w:spacing w:val="-11"/>
        </w:rPr>
        <w:t xml:space="preserve"> </w:t>
      </w:r>
      <w:r w:rsidRPr="0064651B">
        <w:t>SOP</w:t>
      </w:r>
      <w:r w:rsidRPr="0064651B">
        <w:rPr>
          <w:spacing w:val="-14"/>
        </w:rPr>
        <w:t xml:space="preserve"> </w:t>
      </w:r>
      <w:r w:rsidRPr="0064651B">
        <w:t>outlines</w:t>
      </w:r>
      <w:r w:rsidRPr="0064651B">
        <w:rPr>
          <w:spacing w:val="-8"/>
        </w:rPr>
        <w:t xml:space="preserve"> </w:t>
      </w:r>
      <w:r w:rsidR="00052CE3">
        <w:rPr>
          <w:spacing w:val="-8"/>
        </w:rPr>
        <w:t xml:space="preserve">how HUB Management will communicate </w:t>
      </w:r>
      <w:r w:rsidR="004B7836">
        <w:rPr>
          <w:spacing w:val="-8"/>
        </w:rPr>
        <w:t>deficiencies and noncompliant situation</w:t>
      </w:r>
      <w:r w:rsidR="00205121">
        <w:rPr>
          <w:spacing w:val="-8"/>
        </w:rPr>
        <w:t>s</w:t>
      </w:r>
      <w:r w:rsidR="004B7836">
        <w:rPr>
          <w:spacing w:val="-8"/>
        </w:rPr>
        <w:t xml:space="preserve"> in the </w:t>
      </w:r>
      <w:r w:rsidR="003767EB">
        <w:rPr>
          <w:spacing w:val="-8"/>
        </w:rPr>
        <w:t>HUB.  It</w:t>
      </w:r>
      <w:r w:rsidR="004B7836">
        <w:rPr>
          <w:spacing w:val="-8"/>
        </w:rPr>
        <w:t xml:space="preserve"> is imperative that all HUB Users </w:t>
      </w:r>
      <w:r w:rsidR="00205121">
        <w:rPr>
          <w:spacing w:val="-8"/>
        </w:rPr>
        <w:t>follow the food safety program</w:t>
      </w:r>
      <w:r w:rsidR="004A38A3">
        <w:rPr>
          <w:spacing w:val="-8"/>
        </w:rPr>
        <w:t>.  L</w:t>
      </w:r>
      <w:r w:rsidR="00307779">
        <w:rPr>
          <w:spacing w:val="-8"/>
        </w:rPr>
        <w:t>ack of attention to the good manufacturing practices used at the HUB may result in a food safety hazard</w:t>
      </w:r>
      <w:r w:rsidR="004D4EFD">
        <w:rPr>
          <w:spacing w:val="-8"/>
        </w:rPr>
        <w:t xml:space="preserve"> and could affect all HUB Users.</w:t>
      </w:r>
    </w:p>
    <w:p w14:paraId="2FCFF0B2" w14:textId="77777777" w:rsidR="00307779" w:rsidRDefault="00307779" w:rsidP="00AE657C">
      <w:pPr>
        <w:pStyle w:val="BodyText"/>
        <w:kinsoku w:val="0"/>
        <w:overflowPunct w:val="0"/>
        <w:spacing w:before="0" w:line="276" w:lineRule="auto"/>
        <w:ind w:left="0" w:right="708"/>
        <w:jc w:val="both"/>
        <w:rPr>
          <w:spacing w:val="-8"/>
        </w:rPr>
      </w:pPr>
    </w:p>
    <w:p w14:paraId="6D07C4C5" w14:textId="77777777" w:rsidR="00EE766B" w:rsidRPr="0064651B" w:rsidRDefault="00EE766B" w:rsidP="000709EB">
      <w:pPr>
        <w:pStyle w:val="Heading2"/>
        <w:spacing w:after="120"/>
      </w:pPr>
      <w:r w:rsidRPr="0064651B">
        <w:t xml:space="preserve">SCOPE: </w:t>
      </w:r>
    </w:p>
    <w:p w14:paraId="5E14B918" w14:textId="6C838E74" w:rsidR="00EE766B" w:rsidRPr="0064651B" w:rsidRDefault="00EE766B" w:rsidP="00AE657C">
      <w:pPr>
        <w:pStyle w:val="BodyText"/>
        <w:kinsoku w:val="0"/>
        <w:overflowPunct w:val="0"/>
        <w:spacing w:before="0" w:line="276" w:lineRule="auto"/>
        <w:ind w:left="0" w:right="708"/>
        <w:jc w:val="both"/>
        <w:rPr>
          <w:spacing w:val="-2"/>
        </w:rPr>
      </w:pPr>
      <w:r w:rsidRPr="0064651B">
        <w:t>This</w:t>
      </w:r>
      <w:r w:rsidRPr="0064651B">
        <w:rPr>
          <w:spacing w:val="-8"/>
        </w:rPr>
        <w:t xml:space="preserve"> </w:t>
      </w:r>
      <w:r w:rsidRPr="0064651B">
        <w:t>SOP</w:t>
      </w:r>
      <w:r w:rsidRPr="0064651B">
        <w:rPr>
          <w:spacing w:val="-10"/>
        </w:rPr>
        <w:t xml:space="preserve"> </w:t>
      </w:r>
      <w:r w:rsidRPr="0064651B">
        <w:t>is</w:t>
      </w:r>
      <w:r w:rsidRPr="0064651B">
        <w:rPr>
          <w:spacing w:val="-7"/>
        </w:rPr>
        <w:t xml:space="preserve"> </w:t>
      </w:r>
      <w:r w:rsidRPr="0064651B">
        <w:t>used</w:t>
      </w:r>
      <w:r w:rsidRPr="0064651B">
        <w:rPr>
          <w:spacing w:val="-8"/>
        </w:rPr>
        <w:t xml:space="preserve"> </w:t>
      </w:r>
      <w:r w:rsidRPr="0064651B">
        <w:t>by</w:t>
      </w:r>
      <w:r w:rsidRPr="0064651B">
        <w:rPr>
          <w:spacing w:val="-13"/>
        </w:rPr>
        <w:t xml:space="preserve"> </w:t>
      </w:r>
      <w:r w:rsidRPr="0064651B">
        <w:t>Hub</w:t>
      </w:r>
      <w:r w:rsidRPr="0064651B">
        <w:rPr>
          <w:spacing w:val="-8"/>
        </w:rPr>
        <w:t xml:space="preserve"> </w:t>
      </w:r>
      <w:r w:rsidRPr="0064651B">
        <w:t>Owner</w:t>
      </w:r>
      <w:r w:rsidRPr="0064651B">
        <w:rPr>
          <w:spacing w:val="-8"/>
        </w:rPr>
        <w:t xml:space="preserve"> </w:t>
      </w:r>
      <w:r w:rsidRPr="0064651B">
        <w:t>to</w:t>
      </w:r>
      <w:r w:rsidRPr="0064651B">
        <w:rPr>
          <w:spacing w:val="-8"/>
        </w:rPr>
        <w:t xml:space="preserve"> </w:t>
      </w:r>
      <w:r w:rsidR="00C41A28" w:rsidRPr="0064651B">
        <w:rPr>
          <w:spacing w:val="-8"/>
        </w:rPr>
        <w:t xml:space="preserve">ensure the </w:t>
      </w:r>
      <w:r w:rsidR="00EB0D96" w:rsidRPr="0064651B">
        <w:rPr>
          <w:spacing w:val="-8"/>
        </w:rPr>
        <w:t xml:space="preserve">identification and recording of </w:t>
      </w:r>
      <w:r w:rsidR="00063D40" w:rsidRPr="0064651B">
        <w:rPr>
          <w:spacing w:val="-8"/>
        </w:rPr>
        <w:t>deficiencies</w:t>
      </w:r>
      <w:r w:rsidR="00EB0D96" w:rsidRPr="0064651B">
        <w:rPr>
          <w:spacing w:val="-8"/>
        </w:rPr>
        <w:t xml:space="preserve"> </w:t>
      </w:r>
      <w:r w:rsidR="00063D40" w:rsidRPr="0064651B">
        <w:rPr>
          <w:spacing w:val="-8"/>
        </w:rPr>
        <w:t>and non</w:t>
      </w:r>
      <w:r w:rsidR="008D48BD">
        <w:rPr>
          <w:spacing w:val="-8"/>
        </w:rPr>
        <w:softHyphen/>
      </w:r>
      <w:r w:rsidR="00063D40" w:rsidRPr="0064651B">
        <w:rPr>
          <w:spacing w:val="-8"/>
        </w:rPr>
        <w:t xml:space="preserve">compliant items in the HUB. </w:t>
      </w:r>
      <w:r w:rsidR="005E1E16" w:rsidRPr="0064651B">
        <w:rPr>
          <w:spacing w:val="-8"/>
        </w:rPr>
        <w:t>This SOP ensures that corrective actions are followed</w:t>
      </w:r>
      <w:r w:rsidR="00463324" w:rsidRPr="0064651B">
        <w:rPr>
          <w:spacing w:val="-8"/>
        </w:rPr>
        <w:t>.</w:t>
      </w:r>
      <w:r w:rsidR="00B50012" w:rsidRPr="0064651B">
        <w:rPr>
          <w:spacing w:val="-8"/>
        </w:rPr>
        <w:t xml:space="preserve">  Th</w:t>
      </w:r>
      <w:r w:rsidR="00070C7B" w:rsidRPr="0064651B">
        <w:rPr>
          <w:spacing w:val="-8"/>
        </w:rPr>
        <w:t xml:space="preserve">is SOP is organized by prerequisite program suggesting the corrective actions for specific </w:t>
      </w:r>
      <w:r w:rsidR="00853334" w:rsidRPr="0064651B">
        <w:rPr>
          <w:spacing w:val="-8"/>
        </w:rPr>
        <w:t>deficiencies</w:t>
      </w:r>
      <w:r w:rsidR="00070C7B" w:rsidRPr="0064651B">
        <w:rPr>
          <w:spacing w:val="-8"/>
        </w:rPr>
        <w:t xml:space="preserve"> </w:t>
      </w:r>
      <w:r w:rsidR="00332696">
        <w:rPr>
          <w:spacing w:val="-8"/>
        </w:rPr>
        <w:t>in</w:t>
      </w:r>
      <w:r w:rsidR="00070C7B" w:rsidRPr="0064651B">
        <w:rPr>
          <w:spacing w:val="-8"/>
        </w:rPr>
        <w:t xml:space="preserve"> </w:t>
      </w:r>
      <w:r w:rsidR="0054267F" w:rsidRPr="0064651B">
        <w:rPr>
          <w:spacing w:val="-8"/>
        </w:rPr>
        <w:t xml:space="preserve">prerequisite programs and HACCP program.  </w:t>
      </w:r>
    </w:p>
    <w:p w14:paraId="74A906A6" w14:textId="77777777" w:rsidR="00AB4CF3" w:rsidRPr="0064651B" w:rsidRDefault="00AB4CF3" w:rsidP="00EE766B">
      <w:pPr>
        <w:pStyle w:val="BodyText"/>
        <w:kinsoku w:val="0"/>
        <w:overflowPunct w:val="0"/>
        <w:spacing w:before="0"/>
        <w:ind w:left="0" w:right="708"/>
        <w:jc w:val="both"/>
        <w:rPr>
          <w:spacing w:val="-2"/>
        </w:rPr>
      </w:pPr>
    </w:p>
    <w:p w14:paraId="6E2E3F39" w14:textId="387C1331" w:rsidR="00442901" w:rsidRPr="00246FD6" w:rsidRDefault="00AB4CF3" w:rsidP="00246FD6">
      <w:pPr>
        <w:pStyle w:val="Heading2"/>
        <w:spacing w:after="120"/>
      </w:pPr>
      <w:r w:rsidRPr="00246FD6">
        <w:t>PROCEDUR</w:t>
      </w:r>
      <w:r w:rsidR="009078DB">
        <w:t>E</w:t>
      </w:r>
    </w:p>
    <w:p w14:paraId="2702396E" w14:textId="52EEC7D2" w:rsidR="001509A5" w:rsidRDefault="004F3F3D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HUB Management uses a notebook </w:t>
      </w:r>
      <w:r w:rsidR="00783A39">
        <w:rPr>
          <w:rFonts w:ascii="Arial" w:hAnsi="Arial" w:cs="Arial"/>
          <w:sz w:val="20"/>
          <w:szCs w:val="20"/>
        </w:rPr>
        <w:t xml:space="preserve">or </w:t>
      </w:r>
      <w:r w:rsidR="002D0F31">
        <w:rPr>
          <w:rFonts w:ascii="Arial" w:hAnsi="Arial" w:cs="Arial"/>
          <w:sz w:val="20"/>
          <w:szCs w:val="20"/>
        </w:rPr>
        <w:t>record keeping form</w:t>
      </w:r>
      <w:r w:rsidR="00783A39">
        <w:rPr>
          <w:rFonts w:ascii="Arial" w:hAnsi="Arial" w:cs="Arial"/>
          <w:sz w:val="20"/>
          <w:szCs w:val="20"/>
        </w:rPr>
        <w:t xml:space="preserve"> to record observations</w:t>
      </w:r>
      <w:r w:rsidR="00D13FFA">
        <w:rPr>
          <w:rFonts w:ascii="Arial" w:hAnsi="Arial" w:cs="Arial"/>
          <w:sz w:val="20"/>
          <w:szCs w:val="20"/>
        </w:rPr>
        <w:t xml:space="preserve">.  When the HUB Manager observes a </w:t>
      </w:r>
      <w:r w:rsidR="00A66644">
        <w:rPr>
          <w:rFonts w:ascii="Arial" w:hAnsi="Arial" w:cs="Arial"/>
          <w:sz w:val="20"/>
          <w:szCs w:val="20"/>
        </w:rPr>
        <w:t>deficiency,</w:t>
      </w:r>
      <w:r w:rsidR="00D13FFA">
        <w:rPr>
          <w:rFonts w:ascii="Arial" w:hAnsi="Arial" w:cs="Arial"/>
          <w:sz w:val="20"/>
          <w:szCs w:val="20"/>
        </w:rPr>
        <w:t xml:space="preserve"> they will talk </w:t>
      </w:r>
      <w:r w:rsidR="00040023">
        <w:rPr>
          <w:rFonts w:ascii="Arial" w:hAnsi="Arial" w:cs="Arial"/>
          <w:sz w:val="20"/>
          <w:szCs w:val="20"/>
        </w:rPr>
        <w:t xml:space="preserve">to </w:t>
      </w:r>
      <w:r w:rsidR="00D13FFA">
        <w:rPr>
          <w:rFonts w:ascii="Arial" w:hAnsi="Arial" w:cs="Arial"/>
          <w:sz w:val="20"/>
          <w:szCs w:val="20"/>
        </w:rPr>
        <w:t>the HUB User</w:t>
      </w:r>
      <w:r w:rsidR="00040023">
        <w:rPr>
          <w:rFonts w:ascii="Arial" w:hAnsi="Arial" w:cs="Arial"/>
          <w:sz w:val="20"/>
          <w:szCs w:val="20"/>
        </w:rPr>
        <w:t xml:space="preserve">.  If the situation continues or gets worse </w:t>
      </w:r>
      <w:r w:rsidR="008A1680">
        <w:rPr>
          <w:rFonts w:ascii="Arial" w:hAnsi="Arial" w:cs="Arial"/>
          <w:sz w:val="20"/>
          <w:szCs w:val="20"/>
        </w:rPr>
        <w:t xml:space="preserve">a Corrective Action Request may be </w:t>
      </w:r>
      <w:r w:rsidR="00A66644">
        <w:rPr>
          <w:rFonts w:ascii="Arial" w:hAnsi="Arial" w:cs="Arial"/>
          <w:sz w:val="20"/>
          <w:szCs w:val="20"/>
        </w:rPr>
        <w:t>initiated</w:t>
      </w:r>
      <w:r w:rsidR="008A1680">
        <w:rPr>
          <w:rFonts w:ascii="Arial" w:hAnsi="Arial" w:cs="Arial"/>
          <w:sz w:val="20"/>
          <w:szCs w:val="20"/>
        </w:rPr>
        <w:t>.</w:t>
      </w:r>
    </w:p>
    <w:p w14:paraId="06C80942" w14:textId="711845FD" w:rsidR="0025185D" w:rsidRPr="00ED0BD5" w:rsidRDefault="0025185D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710E1">
        <w:rPr>
          <w:rFonts w:ascii="Arial" w:hAnsi="Arial" w:cs="Arial"/>
          <w:b/>
          <w:bCs/>
          <w:sz w:val="20"/>
          <w:szCs w:val="20"/>
        </w:rPr>
        <w:t>H</w:t>
      </w:r>
      <w:r w:rsidR="001509A5" w:rsidRPr="001710E1">
        <w:rPr>
          <w:rFonts w:ascii="Arial" w:hAnsi="Arial" w:cs="Arial"/>
          <w:b/>
          <w:bCs/>
          <w:sz w:val="20"/>
          <w:szCs w:val="20"/>
        </w:rPr>
        <w:t>ygiene</w:t>
      </w:r>
      <w:r w:rsidR="001509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ED0BD5">
        <w:rPr>
          <w:rFonts w:ascii="Arial" w:hAnsi="Arial" w:cs="Arial"/>
          <w:sz w:val="20"/>
          <w:szCs w:val="20"/>
        </w:rPr>
        <w:t xml:space="preserve">onduct of </w:t>
      </w:r>
      <w:r>
        <w:rPr>
          <w:rFonts w:ascii="Arial" w:hAnsi="Arial" w:cs="Arial"/>
          <w:sz w:val="20"/>
          <w:szCs w:val="20"/>
        </w:rPr>
        <w:t xml:space="preserve">HUB Users and HUB </w:t>
      </w:r>
      <w:r w:rsidR="00BE3B9B">
        <w:rPr>
          <w:rFonts w:ascii="Arial" w:hAnsi="Arial" w:cs="Arial"/>
          <w:sz w:val="20"/>
          <w:szCs w:val="20"/>
        </w:rPr>
        <w:t xml:space="preserve">employees </w:t>
      </w:r>
      <w:r w:rsidRPr="00ED0BD5">
        <w:rPr>
          <w:rFonts w:ascii="Arial" w:hAnsi="Arial" w:cs="Arial"/>
          <w:sz w:val="20"/>
          <w:szCs w:val="20"/>
        </w:rPr>
        <w:t xml:space="preserve">is observed daily by </w:t>
      </w:r>
      <w:r w:rsidR="00BE3B9B">
        <w:rPr>
          <w:rFonts w:ascii="Arial" w:hAnsi="Arial" w:cs="Arial"/>
          <w:sz w:val="20"/>
          <w:szCs w:val="20"/>
        </w:rPr>
        <w:t xml:space="preserve">HUB Manager.  </w:t>
      </w:r>
      <w:r w:rsidR="00A66644">
        <w:rPr>
          <w:rFonts w:ascii="Arial" w:hAnsi="Arial" w:cs="Arial"/>
          <w:sz w:val="20"/>
          <w:szCs w:val="20"/>
        </w:rPr>
        <w:t>N</w:t>
      </w:r>
      <w:r w:rsidR="006D0F33">
        <w:rPr>
          <w:rFonts w:ascii="Arial" w:hAnsi="Arial" w:cs="Arial"/>
          <w:sz w:val="20"/>
          <w:szCs w:val="20"/>
        </w:rPr>
        <w:t>oncompliant</w:t>
      </w:r>
      <w:r w:rsidR="00BE3B9B">
        <w:rPr>
          <w:rFonts w:ascii="Arial" w:hAnsi="Arial" w:cs="Arial"/>
          <w:sz w:val="20"/>
          <w:szCs w:val="20"/>
        </w:rPr>
        <w:t xml:space="preserve"> </w:t>
      </w:r>
      <w:r w:rsidR="0061294B">
        <w:rPr>
          <w:rFonts w:ascii="Arial" w:hAnsi="Arial" w:cs="Arial"/>
          <w:sz w:val="20"/>
          <w:szCs w:val="20"/>
        </w:rPr>
        <w:t>personnel hygiene behaviours are reported to HUB User.</w:t>
      </w:r>
      <w:r w:rsidR="005550C5">
        <w:rPr>
          <w:rFonts w:ascii="Arial" w:hAnsi="Arial" w:cs="Arial"/>
          <w:sz w:val="20"/>
          <w:szCs w:val="20"/>
        </w:rPr>
        <w:t xml:space="preserve">  </w:t>
      </w:r>
    </w:p>
    <w:p w14:paraId="06C20DD1" w14:textId="1BB302D2" w:rsidR="00442901" w:rsidRDefault="00442901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710E1">
        <w:rPr>
          <w:rFonts w:ascii="Arial" w:hAnsi="Arial" w:cs="Arial"/>
          <w:b/>
          <w:bCs/>
          <w:sz w:val="20"/>
          <w:szCs w:val="20"/>
        </w:rPr>
        <w:t>Sanitation</w:t>
      </w:r>
      <w:r w:rsidRPr="00ED0BD5">
        <w:rPr>
          <w:rFonts w:ascii="Arial" w:hAnsi="Arial" w:cs="Arial"/>
          <w:sz w:val="20"/>
          <w:szCs w:val="20"/>
        </w:rPr>
        <w:t xml:space="preserve"> deviations are noted on</w:t>
      </w:r>
      <w:r w:rsidR="00BC4FDD">
        <w:rPr>
          <w:rFonts w:ascii="Arial" w:hAnsi="Arial" w:cs="Arial"/>
          <w:sz w:val="20"/>
          <w:szCs w:val="20"/>
        </w:rPr>
        <w:t xml:space="preserve"> sanitation monitoring records.  </w:t>
      </w:r>
      <w:r w:rsidR="005B1897">
        <w:rPr>
          <w:rFonts w:ascii="Arial" w:hAnsi="Arial" w:cs="Arial"/>
          <w:sz w:val="20"/>
          <w:szCs w:val="20"/>
        </w:rPr>
        <w:t>HUB Users that leave premise area or piece of equipment</w:t>
      </w:r>
      <w:r w:rsidR="00DB7A46">
        <w:rPr>
          <w:rFonts w:ascii="Arial" w:hAnsi="Arial" w:cs="Arial"/>
          <w:sz w:val="20"/>
          <w:szCs w:val="20"/>
        </w:rPr>
        <w:t xml:space="preserve"> unclean</w:t>
      </w:r>
      <w:r w:rsidR="005B1897">
        <w:rPr>
          <w:rFonts w:ascii="Arial" w:hAnsi="Arial" w:cs="Arial"/>
          <w:sz w:val="20"/>
          <w:szCs w:val="20"/>
        </w:rPr>
        <w:t xml:space="preserve"> will be asked to reclean the item.  </w:t>
      </w:r>
      <w:r w:rsidR="000922FC">
        <w:rPr>
          <w:rFonts w:ascii="Arial" w:hAnsi="Arial" w:cs="Arial"/>
          <w:sz w:val="20"/>
          <w:szCs w:val="20"/>
        </w:rPr>
        <w:t xml:space="preserve">If HUB Sanitation Crew </w:t>
      </w:r>
      <w:r w:rsidR="00FA7596">
        <w:rPr>
          <w:rFonts w:ascii="Arial" w:hAnsi="Arial" w:cs="Arial"/>
          <w:sz w:val="20"/>
          <w:szCs w:val="20"/>
        </w:rPr>
        <w:t xml:space="preserve">recleans the area the HUB User is charged or fined.  </w:t>
      </w:r>
      <w:r w:rsidR="00AE70E2">
        <w:rPr>
          <w:rFonts w:ascii="Arial" w:hAnsi="Arial" w:cs="Arial"/>
          <w:sz w:val="20"/>
          <w:szCs w:val="20"/>
        </w:rPr>
        <w:t xml:space="preserve">If deviation </w:t>
      </w:r>
      <w:r w:rsidRPr="00ED0BD5">
        <w:rPr>
          <w:rFonts w:ascii="Arial" w:hAnsi="Arial" w:cs="Arial"/>
          <w:sz w:val="20"/>
          <w:szCs w:val="20"/>
        </w:rPr>
        <w:t xml:space="preserve">is a recurring situation then a </w:t>
      </w:r>
      <w:r w:rsidR="00AE70E2">
        <w:rPr>
          <w:rFonts w:ascii="Arial" w:hAnsi="Arial" w:cs="Arial"/>
          <w:sz w:val="20"/>
          <w:szCs w:val="20"/>
        </w:rPr>
        <w:t xml:space="preserve">Corrective Action Request </w:t>
      </w:r>
      <w:r w:rsidRPr="00ED0BD5">
        <w:rPr>
          <w:rFonts w:ascii="Arial" w:hAnsi="Arial" w:cs="Arial"/>
          <w:sz w:val="20"/>
          <w:szCs w:val="20"/>
        </w:rPr>
        <w:t>will be prepared.</w:t>
      </w:r>
    </w:p>
    <w:p w14:paraId="4896898A" w14:textId="240820CA" w:rsidR="00442901" w:rsidRPr="00ED0BD5" w:rsidRDefault="00442901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D6864">
        <w:rPr>
          <w:rFonts w:ascii="Arial" w:hAnsi="Arial" w:cs="Arial"/>
          <w:b/>
          <w:bCs/>
          <w:sz w:val="20"/>
          <w:szCs w:val="20"/>
        </w:rPr>
        <w:t>Premises</w:t>
      </w:r>
      <w:r w:rsidRPr="00ED0BD5">
        <w:rPr>
          <w:rFonts w:ascii="Arial" w:hAnsi="Arial" w:cs="Arial"/>
          <w:sz w:val="20"/>
          <w:szCs w:val="20"/>
        </w:rPr>
        <w:t xml:space="preserve"> deviations are noted on monitoring forms. Action taken and date completed is recorded. </w:t>
      </w:r>
    </w:p>
    <w:p w14:paraId="215DE4B5" w14:textId="6B8CA1EF" w:rsidR="00442901" w:rsidRPr="00ED0BD5" w:rsidRDefault="00032AA2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42901" w:rsidRPr="000D6864">
        <w:rPr>
          <w:rFonts w:ascii="Arial" w:hAnsi="Arial" w:cs="Arial"/>
          <w:b/>
          <w:bCs/>
          <w:sz w:val="20"/>
          <w:szCs w:val="20"/>
        </w:rPr>
        <w:t>Shipping and Receiving SOP</w:t>
      </w:r>
      <w:r>
        <w:rPr>
          <w:rFonts w:ascii="Arial" w:hAnsi="Arial" w:cs="Arial"/>
          <w:sz w:val="20"/>
          <w:szCs w:val="20"/>
        </w:rPr>
        <w:t xml:space="preserve"> for the HUB must be followed.  </w:t>
      </w:r>
      <w:r w:rsidR="00903E36">
        <w:rPr>
          <w:rFonts w:ascii="Arial" w:hAnsi="Arial" w:cs="Arial"/>
          <w:sz w:val="20"/>
          <w:szCs w:val="20"/>
        </w:rPr>
        <w:t xml:space="preserve">Incorrect practices </w:t>
      </w:r>
      <w:r w:rsidR="00B30E2E">
        <w:rPr>
          <w:rFonts w:ascii="Arial" w:hAnsi="Arial" w:cs="Arial"/>
          <w:sz w:val="20"/>
          <w:szCs w:val="20"/>
        </w:rPr>
        <w:t xml:space="preserve">such as </w:t>
      </w:r>
      <w:r w:rsidR="00903E36">
        <w:rPr>
          <w:rFonts w:ascii="Arial" w:hAnsi="Arial" w:cs="Arial"/>
          <w:sz w:val="20"/>
          <w:szCs w:val="20"/>
        </w:rPr>
        <w:t xml:space="preserve">poor </w:t>
      </w:r>
      <w:r w:rsidR="00442901" w:rsidRPr="00ED0BD5">
        <w:rPr>
          <w:rFonts w:ascii="Arial" w:hAnsi="Arial" w:cs="Arial"/>
          <w:sz w:val="20"/>
          <w:szCs w:val="20"/>
        </w:rPr>
        <w:t>temperature contro</w:t>
      </w:r>
      <w:r w:rsidR="00903E36">
        <w:rPr>
          <w:rFonts w:ascii="Arial" w:hAnsi="Arial" w:cs="Arial"/>
          <w:sz w:val="20"/>
          <w:szCs w:val="20"/>
        </w:rPr>
        <w:t xml:space="preserve">l of incoming and outgoing materials, </w:t>
      </w:r>
      <w:r w:rsidR="00442901" w:rsidRPr="00ED0BD5">
        <w:rPr>
          <w:rFonts w:ascii="Arial" w:hAnsi="Arial" w:cs="Arial"/>
          <w:sz w:val="20"/>
          <w:szCs w:val="20"/>
        </w:rPr>
        <w:t>cleanliness of</w:t>
      </w:r>
      <w:r w:rsidR="00A32B41">
        <w:rPr>
          <w:rFonts w:ascii="Arial" w:hAnsi="Arial" w:cs="Arial"/>
          <w:sz w:val="20"/>
          <w:szCs w:val="20"/>
        </w:rPr>
        <w:t xml:space="preserve"> </w:t>
      </w:r>
      <w:r w:rsidR="00442901" w:rsidRPr="00ED0BD5">
        <w:rPr>
          <w:rFonts w:ascii="Arial" w:hAnsi="Arial" w:cs="Arial"/>
          <w:sz w:val="20"/>
          <w:szCs w:val="20"/>
        </w:rPr>
        <w:t>truc</w:t>
      </w:r>
      <w:r w:rsidR="00D84B31">
        <w:rPr>
          <w:rFonts w:ascii="Arial" w:hAnsi="Arial" w:cs="Arial"/>
          <w:sz w:val="20"/>
          <w:szCs w:val="20"/>
        </w:rPr>
        <w:t xml:space="preserve">k and </w:t>
      </w:r>
      <w:r w:rsidR="00442901" w:rsidRPr="00ED0BD5">
        <w:rPr>
          <w:rFonts w:ascii="Arial" w:hAnsi="Arial" w:cs="Arial"/>
          <w:sz w:val="20"/>
          <w:szCs w:val="20"/>
        </w:rPr>
        <w:t>allergen control</w:t>
      </w:r>
      <w:r w:rsidR="00A9502B">
        <w:rPr>
          <w:rFonts w:ascii="Arial" w:hAnsi="Arial" w:cs="Arial"/>
          <w:sz w:val="20"/>
          <w:szCs w:val="20"/>
        </w:rPr>
        <w:t xml:space="preserve"> in the receiving and shipping area of HUB </w:t>
      </w:r>
      <w:r w:rsidR="00B00723">
        <w:rPr>
          <w:rFonts w:ascii="Arial" w:hAnsi="Arial" w:cs="Arial"/>
          <w:sz w:val="20"/>
          <w:szCs w:val="20"/>
        </w:rPr>
        <w:t>are monitored by HUB Management.</w:t>
      </w:r>
    </w:p>
    <w:p w14:paraId="0401FC0E" w14:textId="0866DCD9" w:rsidR="00442901" w:rsidRPr="00ED0BD5" w:rsidRDefault="00B32C3E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0D6864" w:rsidRPr="000D6864">
        <w:rPr>
          <w:rFonts w:ascii="Arial" w:hAnsi="Arial" w:cs="Arial"/>
          <w:b/>
          <w:bCs/>
          <w:sz w:val="20"/>
          <w:szCs w:val="20"/>
        </w:rPr>
        <w:t>A</w:t>
      </w:r>
      <w:r w:rsidRPr="000D6864">
        <w:rPr>
          <w:rFonts w:ascii="Arial" w:hAnsi="Arial" w:cs="Arial"/>
          <w:b/>
          <w:bCs/>
          <w:sz w:val="20"/>
          <w:szCs w:val="20"/>
        </w:rPr>
        <w:t xml:space="preserve">llergens </w:t>
      </w:r>
      <w:r>
        <w:rPr>
          <w:rFonts w:ascii="Arial" w:hAnsi="Arial" w:cs="Arial"/>
          <w:sz w:val="20"/>
          <w:szCs w:val="20"/>
        </w:rPr>
        <w:t>in the facility must be identified</w:t>
      </w:r>
      <w:r w:rsidR="00C812CC">
        <w:rPr>
          <w:rFonts w:ascii="Arial" w:hAnsi="Arial" w:cs="Arial"/>
          <w:sz w:val="20"/>
          <w:szCs w:val="20"/>
        </w:rPr>
        <w:t xml:space="preserve">.  </w:t>
      </w:r>
      <w:r w:rsidR="00442901" w:rsidRPr="00ED0BD5">
        <w:rPr>
          <w:rFonts w:ascii="Arial" w:hAnsi="Arial" w:cs="Arial"/>
          <w:sz w:val="20"/>
          <w:szCs w:val="20"/>
        </w:rPr>
        <w:t xml:space="preserve">If a risk or cross contamination has </w:t>
      </w:r>
      <w:proofErr w:type="gramStart"/>
      <w:r w:rsidR="00331E1D" w:rsidRPr="00ED0BD5">
        <w:rPr>
          <w:rFonts w:ascii="Arial" w:hAnsi="Arial" w:cs="Arial"/>
          <w:sz w:val="20"/>
          <w:szCs w:val="20"/>
        </w:rPr>
        <w:t>occurred</w:t>
      </w:r>
      <w:proofErr w:type="gramEnd"/>
      <w:r w:rsidR="00442901" w:rsidRPr="00ED0BD5">
        <w:rPr>
          <w:rFonts w:ascii="Arial" w:hAnsi="Arial" w:cs="Arial"/>
          <w:sz w:val="20"/>
          <w:szCs w:val="20"/>
        </w:rPr>
        <w:t xml:space="preserve"> </w:t>
      </w:r>
      <w:r w:rsidR="00D26897">
        <w:rPr>
          <w:rFonts w:ascii="Arial" w:hAnsi="Arial" w:cs="Arial"/>
          <w:sz w:val="20"/>
          <w:szCs w:val="20"/>
        </w:rPr>
        <w:t xml:space="preserve">the HUB User </w:t>
      </w:r>
      <w:r w:rsidR="00442901" w:rsidRPr="00ED0BD5">
        <w:rPr>
          <w:rFonts w:ascii="Arial" w:hAnsi="Arial" w:cs="Arial"/>
          <w:sz w:val="20"/>
          <w:szCs w:val="20"/>
        </w:rPr>
        <w:t>should notify</w:t>
      </w:r>
      <w:r w:rsidR="00A81905">
        <w:rPr>
          <w:rFonts w:ascii="Arial" w:hAnsi="Arial" w:cs="Arial"/>
          <w:sz w:val="20"/>
          <w:szCs w:val="20"/>
        </w:rPr>
        <w:t xml:space="preserve"> HUB </w:t>
      </w:r>
      <w:r w:rsidR="00442901" w:rsidRPr="00ED0BD5">
        <w:rPr>
          <w:rFonts w:ascii="Arial" w:hAnsi="Arial" w:cs="Arial"/>
          <w:sz w:val="20"/>
          <w:szCs w:val="20"/>
        </w:rPr>
        <w:t xml:space="preserve">management </w:t>
      </w:r>
      <w:r w:rsidR="00442901" w:rsidRPr="001B442C">
        <w:rPr>
          <w:rFonts w:ascii="Arial" w:hAnsi="Arial" w:cs="Arial"/>
          <w:b/>
          <w:bCs/>
          <w:sz w:val="20"/>
          <w:szCs w:val="20"/>
        </w:rPr>
        <w:t>immediately and assess</w:t>
      </w:r>
      <w:r w:rsidR="00442901" w:rsidRPr="00ED0BD5">
        <w:rPr>
          <w:rFonts w:ascii="Arial" w:hAnsi="Arial" w:cs="Arial"/>
          <w:sz w:val="20"/>
          <w:szCs w:val="20"/>
        </w:rPr>
        <w:t xml:space="preserve"> the situation. Affected product should be quarantined for assessment and/or disposed.</w:t>
      </w:r>
    </w:p>
    <w:p w14:paraId="672BB739" w14:textId="4507DAC8" w:rsidR="00442901" w:rsidRPr="00ED0BD5" w:rsidRDefault="00442901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D0BD5">
        <w:rPr>
          <w:rFonts w:ascii="Arial" w:hAnsi="Arial" w:cs="Arial"/>
          <w:sz w:val="20"/>
          <w:szCs w:val="20"/>
        </w:rPr>
        <w:t xml:space="preserve">If scheduled </w:t>
      </w:r>
      <w:r w:rsidR="001B442C" w:rsidRPr="001B442C">
        <w:rPr>
          <w:rFonts w:ascii="Arial" w:hAnsi="Arial" w:cs="Arial"/>
          <w:b/>
          <w:bCs/>
          <w:sz w:val="20"/>
          <w:szCs w:val="20"/>
        </w:rPr>
        <w:t>P</w:t>
      </w:r>
      <w:r w:rsidRPr="001B442C">
        <w:rPr>
          <w:rFonts w:ascii="Arial" w:hAnsi="Arial" w:cs="Arial"/>
          <w:b/>
          <w:bCs/>
          <w:sz w:val="20"/>
          <w:szCs w:val="20"/>
        </w:rPr>
        <w:t xml:space="preserve">reventative </w:t>
      </w:r>
      <w:r w:rsidR="001B442C" w:rsidRPr="001B442C">
        <w:rPr>
          <w:rFonts w:ascii="Arial" w:hAnsi="Arial" w:cs="Arial"/>
          <w:b/>
          <w:bCs/>
          <w:sz w:val="20"/>
          <w:szCs w:val="20"/>
        </w:rPr>
        <w:t>M</w:t>
      </w:r>
      <w:r w:rsidRPr="001B442C">
        <w:rPr>
          <w:rFonts w:ascii="Arial" w:hAnsi="Arial" w:cs="Arial"/>
          <w:b/>
          <w:bCs/>
          <w:sz w:val="20"/>
          <w:szCs w:val="20"/>
        </w:rPr>
        <w:t>aintenance</w:t>
      </w:r>
      <w:r w:rsidRPr="00ED0BD5">
        <w:rPr>
          <w:rFonts w:ascii="Arial" w:hAnsi="Arial" w:cs="Arial"/>
          <w:sz w:val="20"/>
          <w:szCs w:val="20"/>
        </w:rPr>
        <w:t xml:space="preserve"> tasks are missed it will be noted on the Master Task List.</w:t>
      </w:r>
    </w:p>
    <w:p w14:paraId="29936CCE" w14:textId="696456F4" w:rsidR="00442901" w:rsidRDefault="00442901" w:rsidP="00CA32F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D0BD5">
        <w:rPr>
          <w:rFonts w:ascii="Arial" w:hAnsi="Arial" w:cs="Arial"/>
          <w:sz w:val="20"/>
          <w:szCs w:val="20"/>
        </w:rPr>
        <w:t xml:space="preserve">If </w:t>
      </w:r>
      <w:r w:rsidR="00076EB2" w:rsidRPr="00076EB2">
        <w:rPr>
          <w:rFonts w:ascii="Arial" w:hAnsi="Arial" w:cs="Arial"/>
          <w:b/>
          <w:bCs/>
          <w:sz w:val="20"/>
          <w:szCs w:val="20"/>
        </w:rPr>
        <w:t>N</w:t>
      </w:r>
      <w:r w:rsidRPr="00076EB2">
        <w:rPr>
          <w:rFonts w:ascii="Arial" w:hAnsi="Arial" w:cs="Arial"/>
          <w:b/>
          <w:bCs/>
          <w:sz w:val="20"/>
          <w:szCs w:val="20"/>
        </w:rPr>
        <w:t>on-</w:t>
      </w:r>
      <w:r w:rsidR="00076EB2" w:rsidRPr="00076EB2">
        <w:rPr>
          <w:rFonts w:ascii="Arial" w:hAnsi="Arial" w:cs="Arial"/>
          <w:b/>
          <w:bCs/>
          <w:sz w:val="20"/>
          <w:szCs w:val="20"/>
        </w:rPr>
        <w:t>C</w:t>
      </w:r>
      <w:r w:rsidRPr="00076EB2">
        <w:rPr>
          <w:rFonts w:ascii="Arial" w:hAnsi="Arial" w:cs="Arial"/>
          <w:b/>
          <w:bCs/>
          <w:sz w:val="20"/>
          <w:szCs w:val="20"/>
        </w:rPr>
        <w:t xml:space="preserve">ompliant </w:t>
      </w:r>
      <w:r w:rsidR="00076EB2" w:rsidRPr="00076EB2">
        <w:rPr>
          <w:rFonts w:ascii="Arial" w:hAnsi="Arial" w:cs="Arial"/>
          <w:b/>
          <w:bCs/>
          <w:sz w:val="20"/>
          <w:szCs w:val="20"/>
        </w:rPr>
        <w:t>A</w:t>
      </w:r>
      <w:r w:rsidRPr="00076EB2">
        <w:rPr>
          <w:rFonts w:ascii="Arial" w:hAnsi="Arial" w:cs="Arial"/>
          <w:b/>
          <w:bCs/>
          <w:sz w:val="20"/>
          <w:szCs w:val="20"/>
        </w:rPr>
        <w:t>ctivity</w:t>
      </w:r>
      <w:r w:rsidRPr="00ED0BD5">
        <w:rPr>
          <w:rFonts w:ascii="Arial" w:hAnsi="Arial" w:cs="Arial"/>
          <w:sz w:val="20"/>
          <w:szCs w:val="20"/>
        </w:rPr>
        <w:t xml:space="preserve"> is a recurring </w:t>
      </w:r>
      <w:r w:rsidR="00BD0216" w:rsidRPr="00ED0BD5">
        <w:rPr>
          <w:rFonts w:ascii="Arial" w:hAnsi="Arial" w:cs="Arial"/>
          <w:sz w:val="20"/>
          <w:szCs w:val="20"/>
        </w:rPr>
        <w:t>situation,</w:t>
      </w:r>
      <w:r w:rsidRPr="00ED0BD5">
        <w:rPr>
          <w:rFonts w:ascii="Arial" w:hAnsi="Arial" w:cs="Arial"/>
          <w:sz w:val="20"/>
          <w:szCs w:val="20"/>
        </w:rPr>
        <w:t xml:space="preserve"> then a </w:t>
      </w:r>
      <w:r w:rsidR="006B4E76">
        <w:rPr>
          <w:rFonts w:ascii="Arial" w:hAnsi="Arial" w:cs="Arial"/>
          <w:sz w:val="20"/>
          <w:szCs w:val="20"/>
        </w:rPr>
        <w:t>Corrective Action Request</w:t>
      </w:r>
      <w:r w:rsidRPr="00ED0BD5">
        <w:rPr>
          <w:rFonts w:ascii="Arial" w:hAnsi="Arial" w:cs="Arial"/>
          <w:sz w:val="20"/>
          <w:szCs w:val="20"/>
        </w:rPr>
        <w:t xml:space="preserve"> is issued.</w:t>
      </w:r>
      <w:r w:rsidR="00BE5816">
        <w:rPr>
          <w:rFonts w:ascii="Arial" w:hAnsi="Arial" w:cs="Arial"/>
          <w:sz w:val="20"/>
          <w:szCs w:val="20"/>
        </w:rPr>
        <w:t xml:space="preserve">  This form includes a</w:t>
      </w:r>
      <w:r w:rsidRPr="00ED0BD5">
        <w:rPr>
          <w:rFonts w:ascii="Arial" w:hAnsi="Arial" w:cs="Arial"/>
          <w:sz w:val="20"/>
          <w:szCs w:val="20"/>
        </w:rPr>
        <w:t xml:space="preserve"> description of problem, </w:t>
      </w:r>
      <w:r w:rsidR="00A010A6">
        <w:rPr>
          <w:rFonts w:ascii="Arial" w:hAnsi="Arial" w:cs="Arial"/>
          <w:sz w:val="20"/>
          <w:szCs w:val="20"/>
        </w:rPr>
        <w:t xml:space="preserve">HUB User responsible, </w:t>
      </w:r>
      <w:r w:rsidRPr="00ED0BD5">
        <w:rPr>
          <w:rFonts w:ascii="Arial" w:hAnsi="Arial" w:cs="Arial"/>
          <w:sz w:val="20"/>
          <w:szCs w:val="20"/>
        </w:rPr>
        <w:t>root cause analysis, action taken, preventative measures and date of completion</w:t>
      </w:r>
      <w:r w:rsidR="00D820F2">
        <w:rPr>
          <w:rFonts w:ascii="Arial" w:hAnsi="Arial" w:cs="Arial"/>
          <w:sz w:val="20"/>
          <w:szCs w:val="20"/>
        </w:rPr>
        <w:t>.</w:t>
      </w:r>
    </w:p>
    <w:p w14:paraId="17C1D2E3" w14:textId="238AC681" w:rsidR="00442901" w:rsidRDefault="00183F36" w:rsidP="00931A86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7798B">
        <w:rPr>
          <w:rFonts w:ascii="Arial" w:hAnsi="Arial" w:cs="Arial"/>
          <w:sz w:val="20"/>
          <w:szCs w:val="20"/>
        </w:rPr>
        <w:t xml:space="preserve">Once per week </w:t>
      </w:r>
      <w:r w:rsidR="00E878F9" w:rsidRPr="00A7798B">
        <w:rPr>
          <w:rFonts w:ascii="Arial" w:hAnsi="Arial" w:cs="Arial"/>
          <w:sz w:val="20"/>
          <w:szCs w:val="20"/>
        </w:rPr>
        <w:t xml:space="preserve">HUB Management </w:t>
      </w:r>
      <w:r w:rsidR="00BD0216" w:rsidRPr="00A7798B">
        <w:rPr>
          <w:rFonts w:ascii="Arial" w:hAnsi="Arial" w:cs="Arial"/>
          <w:b/>
          <w:bCs/>
          <w:sz w:val="20"/>
          <w:szCs w:val="20"/>
        </w:rPr>
        <w:t>R</w:t>
      </w:r>
      <w:r w:rsidR="00D820F2" w:rsidRPr="00A7798B">
        <w:rPr>
          <w:rFonts w:ascii="Arial" w:hAnsi="Arial" w:cs="Arial"/>
          <w:b/>
          <w:bCs/>
          <w:sz w:val="20"/>
          <w:szCs w:val="20"/>
        </w:rPr>
        <w:t>eviews</w:t>
      </w:r>
      <w:r w:rsidR="00D820F2" w:rsidRPr="00A7798B">
        <w:rPr>
          <w:rFonts w:ascii="Arial" w:hAnsi="Arial" w:cs="Arial"/>
          <w:sz w:val="20"/>
          <w:szCs w:val="20"/>
        </w:rPr>
        <w:t xml:space="preserve"> all paperwork </w:t>
      </w:r>
      <w:r w:rsidR="007D5531" w:rsidRPr="00A7798B">
        <w:rPr>
          <w:rFonts w:ascii="Arial" w:hAnsi="Arial" w:cs="Arial"/>
          <w:sz w:val="20"/>
          <w:szCs w:val="20"/>
        </w:rPr>
        <w:t>to</w:t>
      </w:r>
      <w:r w:rsidR="00D820F2" w:rsidRPr="00A7798B">
        <w:rPr>
          <w:rFonts w:ascii="Arial" w:hAnsi="Arial" w:cs="Arial"/>
          <w:sz w:val="20"/>
          <w:szCs w:val="20"/>
        </w:rPr>
        <w:t xml:space="preserve"> </w:t>
      </w:r>
      <w:r w:rsidRPr="00A7798B">
        <w:rPr>
          <w:rFonts w:ascii="Arial" w:hAnsi="Arial" w:cs="Arial"/>
          <w:sz w:val="20"/>
          <w:szCs w:val="20"/>
        </w:rPr>
        <w:t xml:space="preserve">ensure it is </w:t>
      </w:r>
      <w:r w:rsidR="00D820F2" w:rsidRPr="00A7798B">
        <w:rPr>
          <w:rFonts w:ascii="Arial" w:hAnsi="Arial" w:cs="Arial"/>
          <w:sz w:val="20"/>
          <w:szCs w:val="20"/>
        </w:rPr>
        <w:t>complete and noncompliant items are identified if not solved during that week.</w:t>
      </w:r>
      <w:r w:rsidR="00446BC4" w:rsidRPr="00A7798B">
        <w:rPr>
          <w:rFonts w:ascii="Arial" w:hAnsi="Arial" w:cs="Arial"/>
          <w:sz w:val="20"/>
          <w:szCs w:val="20"/>
        </w:rPr>
        <w:t xml:space="preserve">  The HUB Management will schedule </w:t>
      </w:r>
      <w:r w:rsidR="005F7471" w:rsidRPr="00A7798B">
        <w:rPr>
          <w:rFonts w:ascii="Arial" w:hAnsi="Arial" w:cs="Arial"/>
          <w:sz w:val="20"/>
          <w:szCs w:val="20"/>
        </w:rPr>
        <w:t>regular HUB meetings to discuss deficiencies and continuous improvement activities.</w:t>
      </w:r>
    </w:p>
    <w:p w14:paraId="7E7C89AA" w14:textId="77777777" w:rsidR="00150E51" w:rsidRPr="00A7798B" w:rsidRDefault="00150E51" w:rsidP="00433CE1">
      <w:pPr>
        <w:pStyle w:val="ListParagraph"/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01C3FCD9" w14:textId="77777777" w:rsidR="00442901" w:rsidRPr="0064651B" w:rsidRDefault="00442901" w:rsidP="00331E1D">
      <w:pPr>
        <w:pStyle w:val="Heading2"/>
      </w:pPr>
      <w:r w:rsidRPr="0064651B">
        <w:t>Related Documents</w:t>
      </w:r>
    </w:p>
    <w:p w14:paraId="55439D42" w14:textId="77777777" w:rsidR="00A7798B" w:rsidRDefault="00A7798B" w:rsidP="00442901">
      <w:pPr>
        <w:spacing w:after="0" w:line="276" w:lineRule="auto"/>
        <w:rPr>
          <w:rFonts w:ascii="Arial" w:hAnsi="Arial" w:cs="Arial"/>
          <w:sz w:val="20"/>
          <w:szCs w:val="20"/>
        </w:rPr>
        <w:sectPr w:rsidR="00A7798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CEC6D3" w14:textId="1A42CB9A" w:rsidR="00E1134F" w:rsidRPr="00A7798B" w:rsidRDefault="00B7295D" w:rsidP="0044290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 xml:space="preserve">HUB.PT.REC.14 </w:t>
      </w:r>
      <w:r w:rsidRPr="00A7798B">
        <w:rPr>
          <w:rFonts w:ascii="Arial" w:hAnsi="Arial" w:cs="Arial"/>
          <w:sz w:val="16"/>
          <w:szCs w:val="16"/>
        </w:rPr>
        <w:tab/>
        <w:t xml:space="preserve">HUB </w:t>
      </w:r>
      <w:r w:rsidR="00E1134F" w:rsidRPr="00A7798B">
        <w:rPr>
          <w:rFonts w:ascii="Arial" w:hAnsi="Arial" w:cs="Arial"/>
          <w:sz w:val="16"/>
          <w:szCs w:val="16"/>
        </w:rPr>
        <w:t>User GMP Commitment</w:t>
      </w:r>
    </w:p>
    <w:p w14:paraId="637D1F20" w14:textId="2E5CFFD1" w:rsidR="00056BC4" w:rsidRPr="00A7798B" w:rsidRDefault="00BB4E2B" w:rsidP="0044290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>HUB.PRE.SOP.3</w:t>
      </w:r>
      <w:r w:rsidRPr="00A7798B">
        <w:rPr>
          <w:rFonts w:ascii="Arial" w:hAnsi="Arial" w:cs="Arial"/>
          <w:sz w:val="16"/>
          <w:szCs w:val="16"/>
        </w:rPr>
        <w:tab/>
        <w:t>Daily Inspection(monitoring) SOP</w:t>
      </w:r>
    </w:p>
    <w:p w14:paraId="302B2C1D" w14:textId="6F536F02" w:rsidR="00056BC4" w:rsidRPr="00A7798B" w:rsidRDefault="000B02DC" w:rsidP="0044290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>HUB.TRS.SOP.20</w:t>
      </w:r>
      <w:r w:rsidRPr="00A7798B">
        <w:rPr>
          <w:rFonts w:ascii="Arial" w:hAnsi="Arial" w:cs="Arial"/>
          <w:sz w:val="16"/>
          <w:szCs w:val="16"/>
        </w:rPr>
        <w:tab/>
        <w:t>Receiving and Shipping SOP</w:t>
      </w:r>
    </w:p>
    <w:p w14:paraId="54421F05" w14:textId="07C8DD83" w:rsidR="00BD5F8F" w:rsidRPr="00A7798B" w:rsidRDefault="00BD5F8F" w:rsidP="0044290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>HUB.E.SOP.30</w:t>
      </w:r>
      <w:r w:rsidRPr="00A7798B">
        <w:rPr>
          <w:rFonts w:ascii="Arial" w:hAnsi="Arial" w:cs="Arial"/>
          <w:sz w:val="16"/>
          <w:szCs w:val="16"/>
        </w:rPr>
        <w:tab/>
      </w:r>
      <w:r w:rsidR="007A5D74">
        <w:rPr>
          <w:rFonts w:ascii="Arial" w:hAnsi="Arial" w:cs="Arial"/>
          <w:sz w:val="16"/>
          <w:szCs w:val="16"/>
        </w:rPr>
        <w:tab/>
      </w:r>
      <w:r w:rsidRPr="00A7798B">
        <w:rPr>
          <w:rFonts w:ascii="Arial" w:hAnsi="Arial" w:cs="Arial"/>
          <w:sz w:val="16"/>
          <w:szCs w:val="16"/>
        </w:rPr>
        <w:t>Preventive Maintenance Program SOP</w:t>
      </w:r>
    </w:p>
    <w:p w14:paraId="1A33E267" w14:textId="55C0F6C6" w:rsidR="00BD5F8F" w:rsidRPr="00A7798B" w:rsidRDefault="009F7026" w:rsidP="00442901">
      <w:pPr>
        <w:spacing w:after="0" w:line="276" w:lineRule="auto"/>
        <w:rPr>
          <w:rFonts w:ascii="Arial" w:hAnsi="Arial" w:cs="Arial"/>
          <w:sz w:val="16"/>
          <w:szCs w:val="16"/>
          <w:lang w:val="en-GB"/>
        </w:rPr>
      </w:pPr>
      <w:r w:rsidRPr="00A7798B">
        <w:rPr>
          <w:rFonts w:ascii="Arial" w:hAnsi="Arial" w:cs="Arial"/>
          <w:sz w:val="16"/>
          <w:szCs w:val="16"/>
          <w:lang w:val="en-GB"/>
        </w:rPr>
        <w:t>HUB.A.SOP.100</w:t>
      </w:r>
      <w:r w:rsidRPr="00A7798B">
        <w:rPr>
          <w:rFonts w:ascii="Arial" w:hAnsi="Arial" w:cs="Arial"/>
          <w:sz w:val="16"/>
          <w:szCs w:val="16"/>
          <w:lang w:val="en-GB"/>
        </w:rPr>
        <w:tab/>
        <w:t>Allergen Control SOP</w:t>
      </w:r>
    </w:p>
    <w:p w14:paraId="3F965560" w14:textId="77777777" w:rsidR="00C72C4A" w:rsidRDefault="00DD2028" w:rsidP="009078D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>HUB.S.SOP.55</w:t>
      </w:r>
      <w:r w:rsidRPr="00A7798B">
        <w:rPr>
          <w:rFonts w:ascii="Arial" w:hAnsi="Arial" w:cs="Arial"/>
          <w:sz w:val="16"/>
          <w:szCs w:val="16"/>
        </w:rPr>
        <w:tab/>
      </w:r>
      <w:r w:rsidR="00AD53B7">
        <w:rPr>
          <w:rFonts w:ascii="Arial" w:hAnsi="Arial" w:cs="Arial"/>
          <w:sz w:val="16"/>
          <w:szCs w:val="16"/>
        </w:rPr>
        <w:tab/>
      </w:r>
      <w:r w:rsidRPr="00A7798B">
        <w:rPr>
          <w:rFonts w:ascii="Arial" w:hAnsi="Arial" w:cs="Arial"/>
          <w:sz w:val="16"/>
          <w:szCs w:val="16"/>
        </w:rPr>
        <w:t>Sanitation SOP</w:t>
      </w:r>
    </w:p>
    <w:p w14:paraId="3E482C72" w14:textId="02317D08" w:rsidR="00242DEC" w:rsidRDefault="004307B5" w:rsidP="009078D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>HUB.S.REC.76</w:t>
      </w:r>
      <w:r w:rsidR="00AD53B7">
        <w:rPr>
          <w:rFonts w:ascii="Arial" w:hAnsi="Arial" w:cs="Arial"/>
          <w:sz w:val="16"/>
          <w:szCs w:val="16"/>
        </w:rPr>
        <w:tab/>
      </w:r>
      <w:r w:rsidR="002C76DE">
        <w:rPr>
          <w:rFonts w:ascii="Arial" w:hAnsi="Arial" w:cs="Arial"/>
          <w:sz w:val="16"/>
          <w:szCs w:val="16"/>
        </w:rPr>
        <w:tab/>
      </w:r>
      <w:r w:rsidRPr="00A7798B">
        <w:rPr>
          <w:rFonts w:ascii="Arial" w:hAnsi="Arial" w:cs="Arial"/>
          <w:sz w:val="16"/>
          <w:szCs w:val="16"/>
        </w:rPr>
        <w:t>Weekly Sanitation Inspection Checklist</w:t>
      </w:r>
    </w:p>
    <w:p w14:paraId="192E42A9" w14:textId="7B94D205" w:rsidR="00A033E7" w:rsidRDefault="00242DEC" w:rsidP="009078DB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HUB.PT</w:t>
      </w:r>
      <w:r w:rsidR="00A033E7">
        <w:rPr>
          <w:rFonts w:ascii="Arial" w:hAnsi="Arial" w:cs="Arial"/>
          <w:sz w:val="16"/>
          <w:szCs w:val="16"/>
        </w:rPr>
        <w:t xml:space="preserve">.REC.48 </w:t>
      </w:r>
      <w:r w:rsidR="003D40A8">
        <w:rPr>
          <w:rFonts w:ascii="Arial" w:hAnsi="Arial" w:cs="Arial"/>
          <w:sz w:val="16"/>
          <w:szCs w:val="16"/>
        </w:rPr>
        <w:tab/>
      </w:r>
      <w:r w:rsidR="00A033E7">
        <w:rPr>
          <w:rFonts w:ascii="Arial" w:hAnsi="Arial" w:cs="Arial"/>
          <w:sz w:val="16"/>
          <w:szCs w:val="16"/>
        </w:rPr>
        <w:t>HUB User Training Record.</w:t>
      </w:r>
    </w:p>
    <w:p w14:paraId="452E3A8D" w14:textId="174A0FC9" w:rsidR="005E3293" w:rsidRPr="00A7798B" w:rsidRDefault="00821F24" w:rsidP="009078D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7798B">
        <w:rPr>
          <w:rFonts w:ascii="Arial" w:hAnsi="Arial" w:cs="Arial"/>
          <w:sz w:val="16"/>
          <w:szCs w:val="16"/>
        </w:rPr>
        <w:t>HUB.</w:t>
      </w:r>
      <w:r w:rsidR="00C458B4" w:rsidRPr="00A7798B">
        <w:rPr>
          <w:rFonts w:ascii="Arial" w:hAnsi="Arial" w:cs="Arial"/>
          <w:sz w:val="16"/>
          <w:szCs w:val="16"/>
        </w:rPr>
        <w:t>HP.</w:t>
      </w:r>
      <w:r w:rsidRPr="00A7798B">
        <w:rPr>
          <w:rFonts w:ascii="Arial" w:hAnsi="Arial" w:cs="Arial"/>
          <w:sz w:val="16"/>
          <w:szCs w:val="16"/>
        </w:rPr>
        <w:t>REC</w:t>
      </w:r>
      <w:r w:rsidR="00C458B4" w:rsidRPr="00A7798B">
        <w:rPr>
          <w:rFonts w:ascii="Arial" w:hAnsi="Arial" w:cs="Arial"/>
          <w:sz w:val="16"/>
          <w:szCs w:val="16"/>
        </w:rPr>
        <w:t xml:space="preserve">.112 </w:t>
      </w:r>
      <w:r w:rsidR="003D40A8">
        <w:rPr>
          <w:rFonts w:ascii="Arial" w:hAnsi="Arial" w:cs="Arial"/>
          <w:sz w:val="16"/>
          <w:szCs w:val="16"/>
        </w:rPr>
        <w:tab/>
      </w:r>
      <w:r w:rsidR="00C458B4" w:rsidRPr="00A7798B">
        <w:rPr>
          <w:rFonts w:ascii="Arial" w:hAnsi="Arial" w:cs="Arial"/>
          <w:sz w:val="16"/>
          <w:szCs w:val="16"/>
        </w:rPr>
        <w:t>Corrective Action Request</w:t>
      </w:r>
    </w:p>
    <w:p w14:paraId="5E955620" w14:textId="77777777" w:rsidR="00242DEC" w:rsidRPr="00A7798B" w:rsidRDefault="00242DEC" w:rsidP="009078DB">
      <w:pPr>
        <w:spacing w:after="0" w:line="276" w:lineRule="auto"/>
        <w:rPr>
          <w:rFonts w:ascii="Arial" w:hAnsi="Arial" w:cs="Arial"/>
          <w:sz w:val="16"/>
          <w:szCs w:val="16"/>
        </w:rPr>
      </w:pPr>
    </w:p>
    <w:sectPr w:rsidR="00242DEC" w:rsidRPr="00A7798B" w:rsidSect="00433CE1">
      <w:type w:val="continuous"/>
      <w:pgSz w:w="12240" w:h="15840"/>
      <w:pgMar w:top="1440" w:right="1440" w:bottom="1440" w:left="1440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6ADA" w14:textId="77777777" w:rsidR="001C6C73" w:rsidRDefault="001C6C73" w:rsidP="00623111">
      <w:pPr>
        <w:spacing w:after="0" w:line="240" w:lineRule="auto"/>
      </w:pPr>
      <w:r>
        <w:separator/>
      </w:r>
    </w:p>
  </w:endnote>
  <w:endnote w:type="continuationSeparator" w:id="0">
    <w:p w14:paraId="53BE2B27" w14:textId="77777777" w:rsidR="001C6C73" w:rsidRDefault="001C6C73" w:rsidP="006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F89F" w14:textId="77777777" w:rsidR="001C6C73" w:rsidRDefault="001C6C73" w:rsidP="00623111">
      <w:pPr>
        <w:spacing w:after="0" w:line="240" w:lineRule="auto"/>
      </w:pPr>
      <w:r>
        <w:separator/>
      </w:r>
    </w:p>
  </w:footnote>
  <w:footnote w:type="continuationSeparator" w:id="0">
    <w:p w14:paraId="13F5748D" w14:textId="77777777" w:rsidR="001C6C73" w:rsidRDefault="001C6C73" w:rsidP="006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4390"/>
      <w:gridCol w:w="4960"/>
    </w:tblGrid>
    <w:tr w:rsidR="00623111" w:rsidRPr="0001232E" w14:paraId="2EE2E0BC" w14:textId="77777777" w:rsidTr="00A22C4D">
      <w:trPr>
        <w:trHeight w:val="848"/>
        <w:jc w:val="center"/>
      </w:trPr>
      <w:tc>
        <w:tcPr>
          <w:tcW w:w="4390" w:type="dxa"/>
          <w:vAlign w:val="center"/>
        </w:tcPr>
        <w:p w14:paraId="09C70567" w14:textId="77777777" w:rsidR="00623111" w:rsidRPr="0001232E" w:rsidRDefault="00623111" w:rsidP="00623111">
          <w:pPr>
            <w:pStyle w:val="Header"/>
            <w:ind w:left="306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noProof/>
              <w:sz w:val="32"/>
            </w:rPr>
            <w:drawing>
              <wp:inline distT="0" distB="0" distL="0" distR="0" wp14:anchorId="4C02CE98" wp14:editId="22BC7D94">
                <wp:extent cx="1556912" cy="5715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606" cy="579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vAlign w:val="center"/>
        </w:tcPr>
        <w:p w14:paraId="3327092D" w14:textId="39F19613" w:rsidR="00623111" w:rsidRDefault="00623111" w:rsidP="00623111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790D29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790D29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790D29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>
            <w:rPr>
              <w:rFonts w:ascii="Arial" w:hAnsi="Arial" w:cs="Arial"/>
              <w:spacing w:val="-5"/>
              <w:sz w:val="20"/>
              <w:szCs w:val="20"/>
              <w:lang w:val="it-IT"/>
            </w:rPr>
            <w:tab/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HUB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HP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>
            <w:rPr>
              <w:rFonts w:ascii="Arial" w:hAnsi="Arial" w:cs="Arial"/>
              <w:spacing w:val="-2"/>
              <w:sz w:val="20"/>
              <w:szCs w:val="20"/>
              <w:lang w:val="it-IT"/>
            </w:rPr>
            <w:t>SOP.10</w:t>
          </w:r>
          <w:r w:rsidR="00B22B4B">
            <w:rPr>
              <w:rFonts w:ascii="Arial" w:hAnsi="Arial" w:cs="Arial"/>
              <w:spacing w:val="-2"/>
              <w:sz w:val="20"/>
              <w:szCs w:val="20"/>
              <w:lang w:val="it-IT"/>
            </w:rPr>
            <w:t>6</w:t>
          </w:r>
        </w:p>
        <w:p w14:paraId="7B97C522" w14:textId="77777777" w:rsidR="00623111" w:rsidRPr="00432EA2" w:rsidRDefault="00623111" w:rsidP="00623111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</w:t>
          </w:r>
          <w:r>
            <w:rPr>
              <w:rFonts w:ascii="Arial" w:hAnsi="Arial" w:cs="Arial"/>
              <w:spacing w:val="-2"/>
              <w:sz w:val="20"/>
              <w:szCs w:val="20"/>
            </w:rPr>
            <w:t>Jun-</w:t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22</w:t>
          </w:r>
        </w:p>
        <w:p w14:paraId="087295A0" w14:textId="77777777" w:rsidR="00623111" w:rsidRPr="0001232E" w:rsidRDefault="00623111" w:rsidP="00623111">
          <w:pPr>
            <w:pStyle w:val="Header"/>
            <w:tabs>
              <w:tab w:val="left" w:pos="2296"/>
            </w:tabs>
            <w:ind w:left="169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623111" w:rsidRPr="0001232E" w14:paraId="4C6B50AD" w14:textId="77777777" w:rsidTr="00A22C4D">
      <w:trPr>
        <w:trHeight w:val="707"/>
        <w:jc w:val="center"/>
      </w:trPr>
      <w:tc>
        <w:tcPr>
          <w:tcW w:w="4390" w:type="dxa"/>
          <w:vAlign w:val="center"/>
        </w:tcPr>
        <w:p w14:paraId="50D45C52" w14:textId="6966EF6F" w:rsidR="00623111" w:rsidRPr="00AE42A6" w:rsidRDefault="00623111" w:rsidP="00623111">
          <w:pPr>
            <w:pStyle w:val="Header"/>
            <w:ind w:left="306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8"/>
              <w:szCs w:val="28"/>
            </w:rPr>
            <w:t>D</w:t>
          </w:r>
          <w:r w:rsidR="00B22B4B">
            <w:rPr>
              <w:rFonts w:ascii="Arial" w:hAnsi="Arial" w:cs="Arial"/>
              <w:b/>
              <w:sz w:val="28"/>
              <w:szCs w:val="28"/>
            </w:rPr>
            <w:t>eviation SOP</w:t>
          </w:r>
        </w:p>
      </w:tc>
      <w:tc>
        <w:tcPr>
          <w:tcW w:w="4960" w:type="dxa"/>
          <w:vAlign w:val="center"/>
        </w:tcPr>
        <w:p w14:paraId="7DE68F53" w14:textId="77777777" w:rsidR="00623111" w:rsidRPr="00432EA2" w:rsidRDefault="00623111" w:rsidP="00623111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</w:t>
          </w:r>
          <w:r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ab/>
          </w:r>
          <w:proofErr w:type="spellStart"/>
          <w:r>
            <w:rPr>
              <w:rFonts w:ascii="Arial" w:hAnsi="Arial" w:cs="Arial"/>
              <w:sz w:val="20"/>
              <w:szCs w:val="20"/>
            </w:rPr>
            <w:t>MDaskis</w:t>
          </w:r>
          <w:proofErr w:type="spellEnd"/>
        </w:p>
        <w:p w14:paraId="111565AE" w14:textId="77777777" w:rsidR="00623111" w:rsidRPr="00432EA2" w:rsidRDefault="00623111" w:rsidP="00623111">
          <w:pPr>
            <w:pStyle w:val="TableParagraph"/>
            <w:tabs>
              <w:tab w:val="left" w:pos="2296"/>
              <w:tab w:val="left" w:pos="2423"/>
            </w:tabs>
            <w:kinsoku w:val="0"/>
            <w:overflowPunct w:val="0"/>
            <w:spacing w:line="276" w:lineRule="auto"/>
            <w:ind w:left="169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Approved By:</w:t>
          </w:r>
          <w:r>
            <w:rPr>
              <w:rFonts w:ascii="Arial" w:hAnsi="Arial" w:cs="Arial"/>
              <w:sz w:val="20"/>
              <w:szCs w:val="20"/>
            </w:rPr>
            <w:tab/>
          </w:r>
          <w:proofErr w:type="spellStart"/>
          <w:r>
            <w:rPr>
              <w:rFonts w:ascii="Arial" w:hAnsi="Arial" w:cs="Arial"/>
              <w:sz w:val="20"/>
              <w:szCs w:val="20"/>
            </w:rPr>
            <w:t>NRoss</w:t>
          </w:r>
          <w:proofErr w:type="spellEnd"/>
        </w:p>
        <w:p w14:paraId="7CEA87DE" w14:textId="77777777" w:rsidR="00623111" w:rsidRPr="0001232E" w:rsidRDefault="00623111" w:rsidP="00623111">
          <w:pPr>
            <w:pStyle w:val="Header"/>
            <w:tabs>
              <w:tab w:val="left" w:pos="2296"/>
              <w:tab w:val="left" w:pos="2721"/>
            </w:tabs>
            <w:ind w:left="169" w:right="455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 xml:space="preserve">New </w:t>
          </w:r>
        </w:p>
      </w:tc>
    </w:tr>
  </w:tbl>
  <w:p w14:paraId="4EB451D4" w14:textId="77777777" w:rsidR="00623111" w:rsidRDefault="00623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4AE1"/>
    <w:multiLevelType w:val="hybridMultilevel"/>
    <w:tmpl w:val="9DD8E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37F10"/>
    <w:multiLevelType w:val="hybridMultilevel"/>
    <w:tmpl w:val="9D32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41A24"/>
    <w:multiLevelType w:val="hybridMultilevel"/>
    <w:tmpl w:val="037AB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515">
    <w:abstractNumId w:val="0"/>
  </w:num>
  <w:num w:numId="2" w16cid:durableId="1616911636">
    <w:abstractNumId w:val="1"/>
  </w:num>
  <w:num w:numId="3" w16cid:durableId="11286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9"/>
    <w:rsid w:val="00032AA2"/>
    <w:rsid w:val="00037C7A"/>
    <w:rsid w:val="00040023"/>
    <w:rsid w:val="00041159"/>
    <w:rsid w:val="00052CE3"/>
    <w:rsid w:val="00056BC4"/>
    <w:rsid w:val="00063D40"/>
    <w:rsid w:val="000709EB"/>
    <w:rsid w:val="00070C7B"/>
    <w:rsid w:val="00076EB2"/>
    <w:rsid w:val="000922FC"/>
    <w:rsid w:val="000A7442"/>
    <w:rsid w:val="000B02DC"/>
    <w:rsid w:val="000B268E"/>
    <w:rsid w:val="000D216C"/>
    <w:rsid w:val="000D6864"/>
    <w:rsid w:val="00125CCF"/>
    <w:rsid w:val="001509A5"/>
    <w:rsid w:val="00150E51"/>
    <w:rsid w:val="00151F04"/>
    <w:rsid w:val="001658B8"/>
    <w:rsid w:val="0016698B"/>
    <w:rsid w:val="001710E1"/>
    <w:rsid w:val="00175EFB"/>
    <w:rsid w:val="00183F36"/>
    <w:rsid w:val="001B442C"/>
    <w:rsid w:val="001C6C73"/>
    <w:rsid w:val="001E10C6"/>
    <w:rsid w:val="00205121"/>
    <w:rsid w:val="00242DEC"/>
    <w:rsid w:val="00246FD6"/>
    <w:rsid w:val="0025185D"/>
    <w:rsid w:val="00254B9B"/>
    <w:rsid w:val="00256459"/>
    <w:rsid w:val="00267F1F"/>
    <w:rsid w:val="00282CCB"/>
    <w:rsid w:val="002C76DE"/>
    <w:rsid w:val="002D0F31"/>
    <w:rsid w:val="002E7B6D"/>
    <w:rsid w:val="00307779"/>
    <w:rsid w:val="00331E1D"/>
    <w:rsid w:val="00332696"/>
    <w:rsid w:val="00341C7A"/>
    <w:rsid w:val="0036095C"/>
    <w:rsid w:val="003767EB"/>
    <w:rsid w:val="003D40A8"/>
    <w:rsid w:val="00424E7F"/>
    <w:rsid w:val="004307B5"/>
    <w:rsid w:val="00433CE1"/>
    <w:rsid w:val="00442901"/>
    <w:rsid w:val="00446BC4"/>
    <w:rsid w:val="00463324"/>
    <w:rsid w:val="00484B4F"/>
    <w:rsid w:val="004926F5"/>
    <w:rsid w:val="00492936"/>
    <w:rsid w:val="004968D8"/>
    <w:rsid w:val="004A38A3"/>
    <w:rsid w:val="004B7836"/>
    <w:rsid w:val="004C354E"/>
    <w:rsid w:val="004D4EFD"/>
    <w:rsid w:val="004F3F3D"/>
    <w:rsid w:val="004F5373"/>
    <w:rsid w:val="004F733C"/>
    <w:rsid w:val="0054267F"/>
    <w:rsid w:val="005550C5"/>
    <w:rsid w:val="0055748E"/>
    <w:rsid w:val="00593DA0"/>
    <w:rsid w:val="005B1897"/>
    <w:rsid w:val="005C2786"/>
    <w:rsid w:val="005E1E16"/>
    <w:rsid w:val="005E3293"/>
    <w:rsid w:val="005F7471"/>
    <w:rsid w:val="00611F2E"/>
    <w:rsid w:val="0061294B"/>
    <w:rsid w:val="00615B4C"/>
    <w:rsid w:val="00623111"/>
    <w:rsid w:val="0064651B"/>
    <w:rsid w:val="006524C0"/>
    <w:rsid w:val="006B4E76"/>
    <w:rsid w:val="006D0F33"/>
    <w:rsid w:val="006F2A36"/>
    <w:rsid w:val="00783A39"/>
    <w:rsid w:val="007A5D74"/>
    <w:rsid w:val="007D5531"/>
    <w:rsid w:val="007F179B"/>
    <w:rsid w:val="00821F24"/>
    <w:rsid w:val="00837334"/>
    <w:rsid w:val="00853334"/>
    <w:rsid w:val="0087290D"/>
    <w:rsid w:val="008829BE"/>
    <w:rsid w:val="008A1680"/>
    <w:rsid w:val="008D48BD"/>
    <w:rsid w:val="008D5008"/>
    <w:rsid w:val="00903E36"/>
    <w:rsid w:val="00906B6B"/>
    <w:rsid w:val="009078DB"/>
    <w:rsid w:val="00933B6C"/>
    <w:rsid w:val="009C4516"/>
    <w:rsid w:val="009C55CA"/>
    <w:rsid w:val="009C670A"/>
    <w:rsid w:val="009F7026"/>
    <w:rsid w:val="00A010A6"/>
    <w:rsid w:val="00A033E7"/>
    <w:rsid w:val="00A22C4D"/>
    <w:rsid w:val="00A32B41"/>
    <w:rsid w:val="00A36244"/>
    <w:rsid w:val="00A66644"/>
    <w:rsid w:val="00A7798B"/>
    <w:rsid w:val="00A81905"/>
    <w:rsid w:val="00A9502B"/>
    <w:rsid w:val="00AA36DC"/>
    <w:rsid w:val="00AA6740"/>
    <w:rsid w:val="00AA79BF"/>
    <w:rsid w:val="00AB4CF3"/>
    <w:rsid w:val="00AD3017"/>
    <w:rsid w:val="00AD53B7"/>
    <w:rsid w:val="00AD5D34"/>
    <w:rsid w:val="00AE657C"/>
    <w:rsid w:val="00AE70E2"/>
    <w:rsid w:val="00AF6F62"/>
    <w:rsid w:val="00B00723"/>
    <w:rsid w:val="00B20DCF"/>
    <w:rsid w:val="00B226EB"/>
    <w:rsid w:val="00B22B4B"/>
    <w:rsid w:val="00B30E2E"/>
    <w:rsid w:val="00B32C3E"/>
    <w:rsid w:val="00B50012"/>
    <w:rsid w:val="00B7295D"/>
    <w:rsid w:val="00B87753"/>
    <w:rsid w:val="00BB4E2B"/>
    <w:rsid w:val="00BC4FDD"/>
    <w:rsid w:val="00BD0216"/>
    <w:rsid w:val="00BD5F8F"/>
    <w:rsid w:val="00BE3B9B"/>
    <w:rsid w:val="00BE5816"/>
    <w:rsid w:val="00BF5C62"/>
    <w:rsid w:val="00C170A7"/>
    <w:rsid w:val="00C41A28"/>
    <w:rsid w:val="00C458B4"/>
    <w:rsid w:val="00C671A3"/>
    <w:rsid w:val="00C72C4A"/>
    <w:rsid w:val="00C812CC"/>
    <w:rsid w:val="00CA32F6"/>
    <w:rsid w:val="00CB0739"/>
    <w:rsid w:val="00D10437"/>
    <w:rsid w:val="00D10F1B"/>
    <w:rsid w:val="00D13FFA"/>
    <w:rsid w:val="00D2022F"/>
    <w:rsid w:val="00D26897"/>
    <w:rsid w:val="00D30BF0"/>
    <w:rsid w:val="00D4092C"/>
    <w:rsid w:val="00D61DC7"/>
    <w:rsid w:val="00D71AE3"/>
    <w:rsid w:val="00D820F2"/>
    <w:rsid w:val="00D84B31"/>
    <w:rsid w:val="00DB746D"/>
    <w:rsid w:val="00DB7A46"/>
    <w:rsid w:val="00DC5239"/>
    <w:rsid w:val="00DD2028"/>
    <w:rsid w:val="00DE4A89"/>
    <w:rsid w:val="00E1134F"/>
    <w:rsid w:val="00E54202"/>
    <w:rsid w:val="00E878F9"/>
    <w:rsid w:val="00EB0D96"/>
    <w:rsid w:val="00EC05C7"/>
    <w:rsid w:val="00ED0BD5"/>
    <w:rsid w:val="00ED791E"/>
    <w:rsid w:val="00EE766B"/>
    <w:rsid w:val="00F16CCD"/>
    <w:rsid w:val="00F16DAF"/>
    <w:rsid w:val="00F23F47"/>
    <w:rsid w:val="00F41110"/>
    <w:rsid w:val="00F453BB"/>
    <w:rsid w:val="00FA3BCC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1EB5"/>
  <w15:chartTrackingRefBased/>
  <w15:docId w15:val="{89B3339F-58AA-47D1-BB57-2432BC34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CB073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rsid w:val="006524C0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11"/>
  </w:style>
  <w:style w:type="paragraph" w:styleId="Footer">
    <w:name w:val="footer"/>
    <w:basedOn w:val="Normal"/>
    <w:link w:val="FooterChar"/>
    <w:uiPriority w:val="99"/>
    <w:unhideWhenUsed/>
    <w:rsid w:val="00623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11"/>
  </w:style>
  <w:style w:type="table" w:styleId="TableGrid">
    <w:name w:val="Table Grid"/>
    <w:basedOn w:val="TableNormal"/>
    <w:uiPriority w:val="59"/>
    <w:rsid w:val="006231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623111"/>
    <w:pPr>
      <w:widowControl w:val="0"/>
      <w:autoSpaceDE w:val="0"/>
      <w:autoSpaceDN w:val="0"/>
      <w:adjustRightInd w:val="0"/>
      <w:spacing w:after="0" w:line="240" w:lineRule="auto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6524C0"/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EE766B"/>
    <w:pPr>
      <w:widowControl w:val="0"/>
      <w:autoSpaceDE w:val="0"/>
      <w:autoSpaceDN w:val="0"/>
      <w:adjustRightInd w:val="0"/>
      <w:spacing w:before="130" w:after="0" w:line="240" w:lineRule="auto"/>
      <w:ind w:left="120"/>
    </w:pPr>
    <w:rPr>
      <w:rFonts w:ascii="Arial" w:eastAsiaTheme="minorEastAsia" w:hAnsi="Arial" w:cs="Arial"/>
      <w:sz w:val="20"/>
      <w:szCs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EE766B"/>
    <w:rPr>
      <w:rFonts w:ascii="Arial" w:eastAsiaTheme="minorEastAsia" w:hAnsi="Arial" w:cs="Arial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6524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0739"/>
    <w:rPr>
      <w:rFonts w:ascii="Arial" w:eastAsiaTheme="minorEastAsia" w:hAnsi="Arial" w:cs="Arial"/>
      <w:b/>
      <w:bCs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Ross</dc:creator>
  <cp:keywords/>
  <dc:description/>
  <cp:lastModifiedBy>Ross Food Consulting</cp:lastModifiedBy>
  <cp:revision>128</cp:revision>
  <cp:lastPrinted>2023-02-10T21:46:00Z</cp:lastPrinted>
  <dcterms:created xsi:type="dcterms:W3CDTF">2023-02-06T23:12:00Z</dcterms:created>
  <dcterms:modified xsi:type="dcterms:W3CDTF">2023-02-10T21:50:00Z</dcterms:modified>
</cp:coreProperties>
</file>